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8814c8a00fbb4463"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25021</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CENTAR ZA KULTURU TREŠNJEVKA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413.882,56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536.619,94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453.428,53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549.238,87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39.545,97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12.618,93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31,9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1.623,68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5.687,10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350,3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1.623,68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5.687,10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350,3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41.169,65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18.306,03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44,5</w:t>
            </w:r>
          </w:p>
        </w:tc>
      </w:tr>
    </w:tbl>
    <w:p>
      <w:pPr>
        <w:spacing w:before="0" w:after="0"/>
      </w:pPr>
    </w:p>
    <w:p>
      <w:r>
        <w:t xml:space="preserve">Ukupan manjak prihoda ovog izvještajnog razdoblja, u iznosu od 18.306,03 eura, nastao je zbog neisplaćenih prihoda koje trebamo primiti iz gradskog proračuna. Zahtjev za sredstvima za pokriće rashoda za plaću 06/2026, materijalne rashode 5-6/2026 te rashode za programska sredstva 5-6/2025 poslan je u 7/2025, a očekivano vrijeme primitka sredstava je tijekom 7/2026.</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413.882,56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536.619,94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129,7</w:t>
            </w:r>
          </w:p>
        </w:tc>
      </w:tr>
    </w:tbl>
    <w:p>
      <w:pPr>
        <w:spacing w:before="0" w:after="0"/>
      </w:pPr>
    </w:p>
    <w:p>
      <w:r>
        <w:t xml:space="preserve">Ukupni prihodi poslovanja ostvareni su u iznosu od 536.619,94 eura, što je za 29,7% više od ostvarenja u istom izvještajnom razdoblju prethodne godine. Ovo povećanje temelji se na povećanju prihoda iz gradskih izvora, na povećanju vlastitih prihoda te na povećanju prihoda iz drugih proračuna.</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proračunskim korisnicima iz proračuna koji im nije nadležan (šifre 6361+6362)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22.318,30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26.065,00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116,8</w:t>
            </w:r>
          </w:p>
        </w:tc>
      </w:tr>
    </w:tbl>
    <w:p>
      <w:pPr>
        <w:spacing w:before="0" w:after="0"/>
      </w:pPr>
    </w:p>
    <w:p>
      <w:r>
        <w:t xml:space="preserve">Na povećanje ove stavke u iznosu od 16,8% utjecalo je povećanje prihoda od pomoći iz drugih proračuna (Ministarstvo kulture i Hrvatski audiovizualni centar) za financiranje programske djelatnosti.</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upravnih i administrativnih pristojbi, pristojbi po posebnim propisima i naknada (šifre 651+652+653+654)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21.121,08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33.609,00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159,1</w:t>
            </w:r>
          </w:p>
        </w:tc>
      </w:tr>
    </w:tbl>
    <w:p>
      <w:pPr>
        <w:spacing w:before="0" w:after="0"/>
      </w:pPr>
    </w:p>
    <w:p>
      <w:r>
        <w:t xml:space="preserve">Povećanje ove stavke u iznosu od 59,1%, temelji se na povećanju broja predstava tj. na većem broju prodanih ulaznica za predstave.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te pruženih usluga, prihodi od donacija te povrati po protestiranim jamstvima (šifre 661+663)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34.296,88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60.409,62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176,1</w:t>
            </w:r>
          </w:p>
        </w:tc>
      </w:tr>
    </w:tbl>
    <w:p>
      <w:pPr>
        <w:spacing w:before="0" w:after="0"/>
      </w:pPr>
    </w:p>
    <w:p>
      <w:r>
        <w:t xml:space="preserve">Na povećanje ove stavke, u iznosu od 76,1%, utjecao je veći broj polaznika tečajeva, radionica i ostalih programa.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i od HZZO-a na temelju ugovornih obveza (šifre 671+673)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329.330,35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416.536,32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126,5</w:t>
            </w:r>
          </w:p>
        </w:tc>
      </w:tr>
    </w:tbl>
    <w:p>
      <w:pPr>
        <w:spacing w:before="0" w:after="0"/>
      </w:pPr>
    </w:p>
    <w:p>
      <w:r>
        <w:t xml:space="preserve">Povećanje prihoda iz nadležnog proračuna, u iznosu od 26,5%, sukladno je povećanju rashoda za plaće zaposlenika te općem porastu cijena tj. inflaciji.</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zaposlene (šifre 311+312+313)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285.004,82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337.925,28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118,6</w:t>
            </w:r>
          </w:p>
        </w:tc>
      </w:tr>
    </w:tbl>
    <w:p>
      <w:pPr>
        <w:spacing w:before="0" w:after="0"/>
      </w:pPr>
    </w:p>
    <w:p>
      <w:r>
        <w:t xml:space="preserve">Povećanje rashoda za zaposlene u iznosu od 18,6% rezultat je zapošljavanja dvoje novih zaposlenika te povećanja osnovice za plaću od 01.mj. 2026. godine sukladno VII. dodatku kolektivnom ugovoru.</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Materijalni rashodi (šifre 321+322+323+324+325+329)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167.771,27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210.489,74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125,5</w:t>
            </w:r>
          </w:p>
        </w:tc>
      </w:tr>
    </w:tbl>
    <w:p>
      <w:pPr>
        <w:spacing w:before="0" w:after="0"/>
      </w:pPr>
    </w:p>
    <w:p>
      <w:r>
        <w:t xml:space="preserve">Do povećanja materijalnih rashoda u iznosu od 25,5% došlo je zbog općeg porasta cijena tj. inflacije, zbog rashoda za sistematske preglede zaposlenika, stručnog usavršavanje tj. edukacije zaposlenika, obnavljanja web stranice Centra te zbog povećanja programskih aktivnosti što je paralelno utjecalo na povećanje prihoda i rashoda.</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proizvedene dugotrajne imovine (šifre 421+422+423+424+425+426)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1.623,68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5.687,10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350,3</w:t>
            </w:r>
          </w:p>
        </w:tc>
      </w:tr>
    </w:tbl>
    <w:p>
      <w:pPr>
        <w:spacing w:before="0" w:after="0"/>
      </w:pPr>
    </w:p>
    <w:p>
      <w:r>
        <w:t xml:space="preserve">Povećanje rashoda za nabavu dugotrajne imovine, u iznosu od 250,3%, temelji se na obnovi tj. nabavi uredskog namještaja i računalne opreme za nove djelatnike</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881,63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Dospjele obveze u iznosu 881,63 eura odnose se na neplaćene račune za materijalne rashode koji su imali kratk rok dospijeća ili su pristigli krajem 6.mj. 2026.g. i svi su podmireni početkom 7.mj.</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61.319,48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Nedospjele obveze na kraju izvještajnog razdoblja u iznosu od 61.319,48 eura, odnose se na plaću za 06/2026 te račune za materijalne troškove koji su pristigli u 7.mj., a odnose se na rashode 6.mj.</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1029ad2fe2a443dd" /></Relationships>
</file>