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C26E05" w14:paraId="4104AB66" w14:textId="77777777">
        <w:tblPrEx>
          <w:tblCellMar>
            <w:top w:w="0" w:type="dxa"/>
            <w:bottom w:w="0" w:type="dxa"/>
          </w:tblCellMar>
        </w:tblPrEx>
        <w:trPr>
          <w:tblCellSpacing w:w="60" w:type="dxa"/>
        </w:trPr>
        <w:tc>
          <w:tcPr>
            <w:tcW w:w="1200" w:type="pct"/>
            <w:shd w:val="clear" w:color="auto" w:fill="E7F0F9"/>
          </w:tcPr>
          <w:p w14:paraId="69C4652D" w14:textId="77777777" w:rsidR="00C26E05" w:rsidRDefault="00000000">
            <w:pPr>
              <w:spacing w:after="0" w:line="240" w:lineRule="auto"/>
            </w:pPr>
            <w:r>
              <w:rPr>
                <w:b/>
              </w:rPr>
              <w:t>RKP broj</w:t>
            </w:r>
          </w:p>
        </w:tc>
        <w:tc>
          <w:tcPr>
            <w:tcW w:w="0" w:type="auto"/>
            <w:shd w:val="clear" w:color="auto" w:fill="E7F0F9"/>
          </w:tcPr>
          <w:p w14:paraId="2E6A59D2" w14:textId="77777777" w:rsidR="00C26E05" w:rsidRDefault="00000000">
            <w:pPr>
              <w:spacing w:after="0" w:line="240" w:lineRule="auto"/>
            </w:pPr>
            <w:r>
              <w:t>25021</w:t>
            </w:r>
          </w:p>
        </w:tc>
      </w:tr>
      <w:tr w:rsidR="00C26E05" w14:paraId="460722F4" w14:textId="77777777">
        <w:tblPrEx>
          <w:tblCellMar>
            <w:top w:w="0" w:type="dxa"/>
            <w:bottom w:w="0" w:type="dxa"/>
          </w:tblCellMar>
        </w:tblPrEx>
        <w:trPr>
          <w:tblCellSpacing w:w="60" w:type="dxa"/>
        </w:trPr>
        <w:tc>
          <w:tcPr>
            <w:tcW w:w="1200" w:type="pct"/>
            <w:shd w:val="clear" w:color="auto" w:fill="E7F0F9"/>
          </w:tcPr>
          <w:p w14:paraId="6B304749" w14:textId="77777777" w:rsidR="00C26E05" w:rsidRDefault="00000000">
            <w:pPr>
              <w:spacing w:after="0" w:line="240" w:lineRule="auto"/>
            </w:pPr>
            <w:r>
              <w:rPr>
                <w:b/>
              </w:rPr>
              <w:t>Naziv obveznika</w:t>
            </w:r>
          </w:p>
        </w:tc>
        <w:tc>
          <w:tcPr>
            <w:tcW w:w="0" w:type="auto"/>
            <w:shd w:val="clear" w:color="auto" w:fill="E7F0F9"/>
          </w:tcPr>
          <w:p w14:paraId="362BB68D" w14:textId="77777777" w:rsidR="00C26E05" w:rsidRDefault="00000000">
            <w:pPr>
              <w:spacing w:after="0" w:line="240" w:lineRule="auto"/>
            </w:pPr>
            <w:r>
              <w:t>CENTAR ZA KULTURU TREŠNJEVKA</w:t>
            </w:r>
          </w:p>
        </w:tc>
      </w:tr>
      <w:tr w:rsidR="00C26E05" w14:paraId="5B6E93AD" w14:textId="77777777">
        <w:tblPrEx>
          <w:tblCellMar>
            <w:top w:w="0" w:type="dxa"/>
            <w:bottom w:w="0" w:type="dxa"/>
          </w:tblCellMar>
        </w:tblPrEx>
        <w:trPr>
          <w:tblCellSpacing w:w="60" w:type="dxa"/>
        </w:trPr>
        <w:tc>
          <w:tcPr>
            <w:tcW w:w="1200" w:type="pct"/>
            <w:shd w:val="clear" w:color="auto" w:fill="E7F0F9"/>
          </w:tcPr>
          <w:p w14:paraId="1AD4BB6A" w14:textId="77777777" w:rsidR="00C26E05" w:rsidRDefault="00000000">
            <w:pPr>
              <w:spacing w:after="0" w:line="240" w:lineRule="auto"/>
            </w:pPr>
            <w:r>
              <w:rPr>
                <w:b/>
              </w:rPr>
              <w:t>Razina</w:t>
            </w:r>
          </w:p>
        </w:tc>
        <w:tc>
          <w:tcPr>
            <w:tcW w:w="0" w:type="auto"/>
            <w:shd w:val="clear" w:color="auto" w:fill="E7F0F9"/>
          </w:tcPr>
          <w:p w14:paraId="6E26A400" w14:textId="77777777" w:rsidR="00C26E05" w:rsidRDefault="00000000">
            <w:pPr>
              <w:spacing w:after="0" w:line="240" w:lineRule="auto"/>
            </w:pPr>
            <w:r>
              <w:t>21</w:t>
            </w:r>
          </w:p>
        </w:tc>
      </w:tr>
    </w:tbl>
    <w:p w14:paraId="3C244178" w14:textId="77777777" w:rsidR="00C26E05" w:rsidRDefault="00000000">
      <w:r>
        <w:br/>
      </w:r>
    </w:p>
    <w:p w14:paraId="55F06877" w14:textId="77777777" w:rsidR="00C26E05" w:rsidRDefault="00000000">
      <w:pPr>
        <w:spacing w:line="240" w:lineRule="auto"/>
        <w:jc w:val="center"/>
      </w:pPr>
      <w:r>
        <w:rPr>
          <w:b/>
          <w:sz w:val="28"/>
        </w:rPr>
        <w:t>BILJEŠKE UZ FINANCIJSKE IZVJEŠTAJE</w:t>
      </w:r>
    </w:p>
    <w:p w14:paraId="02E48F33" w14:textId="77777777" w:rsidR="00C26E05" w:rsidRDefault="00000000">
      <w:pPr>
        <w:spacing w:line="240" w:lineRule="auto"/>
        <w:jc w:val="center"/>
      </w:pPr>
      <w:r>
        <w:rPr>
          <w:b/>
          <w:sz w:val="28"/>
        </w:rPr>
        <w:t>ZA RAZDOBLJE</w:t>
      </w:r>
    </w:p>
    <w:p w14:paraId="15565592" w14:textId="77777777" w:rsidR="00C26E05" w:rsidRDefault="00000000">
      <w:pPr>
        <w:spacing w:line="240" w:lineRule="auto"/>
        <w:jc w:val="center"/>
      </w:pPr>
      <w:r>
        <w:rPr>
          <w:b/>
          <w:sz w:val="28"/>
        </w:rPr>
        <w:t>I - XII 2025.</w:t>
      </w:r>
    </w:p>
    <w:p w14:paraId="2C1D84CE" w14:textId="77777777" w:rsidR="00C26E05" w:rsidRDefault="00C26E05"/>
    <w:p w14:paraId="037C9740" w14:textId="77777777" w:rsidR="00C26E05" w:rsidRDefault="00000000">
      <w:pPr>
        <w:keepNext/>
        <w:spacing w:line="240" w:lineRule="auto"/>
        <w:jc w:val="center"/>
      </w:pPr>
      <w:r>
        <w:rPr>
          <w:b/>
          <w:sz w:val="28"/>
        </w:rPr>
        <w:t>Izvještaj o prihodima i rashodima, primicima i izdacima</w:t>
      </w:r>
    </w:p>
    <w:p w14:paraId="5DC31F81" w14:textId="77777777" w:rsidR="00C26E05"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6E05" w14:paraId="14819B0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9C8CFA" w14:textId="77777777" w:rsidR="00C26E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DD928FE" w14:textId="77777777" w:rsidR="00C26E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064767" w14:textId="77777777" w:rsidR="00C26E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EE1DED" w14:textId="77777777" w:rsidR="00C26E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FFEC8F7" w14:textId="77777777" w:rsidR="00C26E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708A97" w14:textId="77777777" w:rsidR="00C26E05" w:rsidRDefault="00000000">
            <w:pPr>
              <w:keepNext/>
              <w:keepLines/>
              <w:spacing w:after="0" w:line="240" w:lineRule="auto"/>
              <w:jc w:val="center"/>
            </w:pPr>
            <w:r>
              <w:rPr>
                <w:b/>
                <w:sz w:val="18"/>
              </w:rPr>
              <w:t>Indeks (%)</w:t>
            </w:r>
          </w:p>
        </w:tc>
      </w:tr>
      <w:tr w:rsidR="00C26E05" w14:paraId="6F9419B3" w14:textId="77777777">
        <w:tblPrEx>
          <w:tblCellMar>
            <w:top w:w="0" w:type="dxa"/>
            <w:bottom w:w="0" w:type="dxa"/>
          </w:tblCellMar>
        </w:tblPrEx>
        <w:trPr>
          <w:cantSplit/>
          <w:trHeight w:val="560"/>
        </w:trPr>
        <w:tc>
          <w:tcPr>
            <w:tcW w:w="700" w:type="dxa"/>
            <w:tcMar>
              <w:top w:w="0" w:type="dxa"/>
              <w:bottom w:w="0" w:type="dxa"/>
            </w:tcMar>
            <w:vAlign w:val="center"/>
          </w:tcPr>
          <w:p w14:paraId="4B25ED2E" w14:textId="77777777" w:rsidR="00C26E05" w:rsidRDefault="00000000">
            <w:pPr>
              <w:keepNext/>
              <w:keepLines/>
              <w:spacing w:after="0" w:line="240" w:lineRule="auto"/>
            </w:pPr>
            <w:r>
              <w:rPr>
                <w:sz w:val="18"/>
              </w:rPr>
              <w:t>6</w:t>
            </w:r>
          </w:p>
        </w:tc>
        <w:tc>
          <w:tcPr>
            <w:tcW w:w="3180" w:type="dxa"/>
            <w:tcMar>
              <w:top w:w="0" w:type="dxa"/>
              <w:bottom w:w="0" w:type="dxa"/>
            </w:tcMar>
            <w:vAlign w:val="center"/>
          </w:tcPr>
          <w:p w14:paraId="0908E50A" w14:textId="77777777" w:rsidR="00C26E05"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3547769E" w14:textId="77777777" w:rsidR="00C26E05" w:rsidRDefault="00000000">
            <w:pPr>
              <w:keepNext/>
              <w:keepLines/>
              <w:spacing w:after="0" w:line="240" w:lineRule="auto"/>
            </w:pPr>
            <w:r>
              <w:rPr>
                <w:sz w:val="18"/>
              </w:rPr>
              <w:t>6</w:t>
            </w:r>
          </w:p>
        </w:tc>
        <w:tc>
          <w:tcPr>
            <w:tcW w:w="1860" w:type="dxa"/>
            <w:tcMar>
              <w:top w:w="0" w:type="dxa"/>
              <w:bottom w:w="0" w:type="dxa"/>
            </w:tcMar>
            <w:vAlign w:val="center"/>
          </w:tcPr>
          <w:p w14:paraId="119E57E7" w14:textId="77777777" w:rsidR="00C26E05" w:rsidRDefault="00000000">
            <w:pPr>
              <w:keepNext/>
              <w:keepLines/>
              <w:spacing w:after="0" w:line="240" w:lineRule="auto"/>
              <w:jc w:val="right"/>
            </w:pPr>
            <w:r>
              <w:rPr>
                <w:sz w:val="18"/>
              </w:rPr>
              <w:t>642.922,83</w:t>
            </w:r>
          </w:p>
        </w:tc>
        <w:tc>
          <w:tcPr>
            <w:tcW w:w="1860" w:type="dxa"/>
            <w:tcMar>
              <w:top w:w="0" w:type="dxa"/>
              <w:bottom w:w="0" w:type="dxa"/>
            </w:tcMar>
            <w:vAlign w:val="center"/>
          </w:tcPr>
          <w:p w14:paraId="029EFDDB" w14:textId="77777777" w:rsidR="00C26E05" w:rsidRDefault="00000000">
            <w:pPr>
              <w:keepNext/>
              <w:keepLines/>
              <w:spacing w:after="0" w:line="240" w:lineRule="auto"/>
              <w:jc w:val="right"/>
            </w:pPr>
            <w:r>
              <w:rPr>
                <w:sz w:val="18"/>
              </w:rPr>
              <w:t>894.160,41</w:t>
            </w:r>
          </w:p>
        </w:tc>
        <w:tc>
          <w:tcPr>
            <w:tcW w:w="700" w:type="dxa"/>
            <w:tcMar>
              <w:top w:w="0" w:type="dxa"/>
              <w:bottom w:w="0" w:type="dxa"/>
            </w:tcMar>
            <w:vAlign w:val="center"/>
          </w:tcPr>
          <w:p w14:paraId="287D723B" w14:textId="77777777" w:rsidR="00C26E05" w:rsidRDefault="00000000">
            <w:pPr>
              <w:keepNext/>
              <w:keepLines/>
              <w:spacing w:after="0" w:line="240" w:lineRule="auto"/>
              <w:jc w:val="right"/>
            </w:pPr>
            <w:r>
              <w:rPr>
                <w:sz w:val="18"/>
              </w:rPr>
              <w:t>139,1</w:t>
            </w:r>
          </w:p>
        </w:tc>
      </w:tr>
      <w:tr w:rsidR="00C26E05" w14:paraId="74F94E79" w14:textId="77777777">
        <w:tblPrEx>
          <w:tblCellMar>
            <w:top w:w="0" w:type="dxa"/>
            <w:bottom w:w="0" w:type="dxa"/>
          </w:tblCellMar>
        </w:tblPrEx>
        <w:trPr>
          <w:cantSplit/>
          <w:trHeight w:val="560"/>
        </w:trPr>
        <w:tc>
          <w:tcPr>
            <w:tcW w:w="700" w:type="dxa"/>
            <w:tcMar>
              <w:top w:w="0" w:type="dxa"/>
              <w:bottom w:w="0" w:type="dxa"/>
            </w:tcMar>
            <w:vAlign w:val="center"/>
          </w:tcPr>
          <w:p w14:paraId="1FAAD7D3" w14:textId="77777777" w:rsidR="00C26E05" w:rsidRDefault="00000000">
            <w:pPr>
              <w:keepNext/>
              <w:keepLines/>
              <w:spacing w:after="0" w:line="240" w:lineRule="auto"/>
            </w:pPr>
            <w:r>
              <w:rPr>
                <w:sz w:val="18"/>
              </w:rPr>
              <w:t>3</w:t>
            </w:r>
          </w:p>
        </w:tc>
        <w:tc>
          <w:tcPr>
            <w:tcW w:w="3180" w:type="dxa"/>
            <w:tcMar>
              <w:top w:w="0" w:type="dxa"/>
              <w:bottom w:w="0" w:type="dxa"/>
            </w:tcMar>
            <w:vAlign w:val="center"/>
          </w:tcPr>
          <w:p w14:paraId="78266D6D" w14:textId="77777777" w:rsidR="00C26E05"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7540DC24" w14:textId="77777777" w:rsidR="00C26E05" w:rsidRDefault="00000000">
            <w:pPr>
              <w:keepNext/>
              <w:keepLines/>
              <w:spacing w:after="0" w:line="240" w:lineRule="auto"/>
            </w:pPr>
            <w:r>
              <w:rPr>
                <w:sz w:val="18"/>
              </w:rPr>
              <w:t>3</w:t>
            </w:r>
          </w:p>
        </w:tc>
        <w:tc>
          <w:tcPr>
            <w:tcW w:w="1860" w:type="dxa"/>
            <w:tcMar>
              <w:top w:w="0" w:type="dxa"/>
              <w:bottom w:w="0" w:type="dxa"/>
            </w:tcMar>
            <w:vAlign w:val="center"/>
          </w:tcPr>
          <w:p w14:paraId="544A407F" w14:textId="77777777" w:rsidR="00C26E05" w:rsidRDefault="00000000">
            <w:pPr>
              <w:keepNext/>
              <w:keepLines/>
              <w:spacing w:after="0" w:line="240" w:lineRule="auto"/>
              <w:jc w:val="right"/>
            </w:pPr>
            <w:r>
              <w:rPr>
                <w:sz w:val="18"/>
              </w:rPr>
              <w:t>662.621,05</w:t>
            </w:r>
          </w:p>
        </w:tc>
        <w:tc>
          <w:tcPr>
            <w:tcW w:w="1860" w:type="dxa"/>
            <w:tcMar>
              <w:top w:w="0" w:type="dxa"/>
              <w:bottom w:w="0" w:type="dxa"/>
            </w:tcMar>
            <w:vAlign w:val="center"/>
          </w:tcPr>
          <w:p w14:paraId="3F9925DF" w14:textId="77777777" w:rsidR="00C26E05" w:rsidRDefault="00000000">
            <w:pPr>
              <w:keepNext/>
              <w:keepLines/>
              <w:spacing w:after="0" w:line="240" w:lineRule="auto"/>
              <w:jc w:val="right"/>
            </w:pPr>
            <w:r>
              <w:rPr>
                <w:sz w:val="18"/>
              </w:rPr>
              <w:t>867.723,45</w:t>
            </w:r>
          </w:p>
        </w:tc>
        <w:tc>
          <w:tcPr>
            <w:tcW w:w="700" w:type="dxa"/>
            <w:tcMar>
              <w:top w:w="0" w:type="dxa"/>
              <w:bottom w:w="0" w:type="dxa"/>
            </w:tcMar>
            <w:vAlign w:val="center"/>
          </w:tcPr>
          <w:p w14:paraId="714EBEC4" w14:textId="77777777" w:rsidR="00C26E05" w:rsidRDefault="00000000">
            <w:pPr>
              <w:keepNext/>
              <w:keepLines/>
              <w:spacing w:after="0" w:line="240" w:lineRule="auto"/>
              <w:jc w:val="right"/>
            </w:pPr>
            <w:r>
              <w:rPr>
                <w:sz w:val="18"/>
              </w:rPr>
              <w:t>131,0</w:t>
            </w:r>
          </w:p>
        </w:tc>
      </w:tr>
      <w:tr w:rsidR="00C26E05" w14:paraId="4F6EE787" w14:textId="77777777">
        <w:tblPrEx>
          <w:tblCellMar>
            <w:top w:w="0" w:type="dxa"/>
            <w:bottom w:w="0" w:type="dxa"/>
          </w:tblCellMar>
        </w:tblPrEx>
        <w:trPr>
          <w:cantSplit/>
          <w:trHeight w:val="560"/>
        </w:trPr>
        <w:tc>
          <w:tcPr>
            <w:tcW w:w="700" w:type="dxa"/>
            <w:tcMar>
              <w:top w:w="0" w:type="dxa"/>
              <w:bottom w:w="0" w:type="dxa"/>
            </w:tcMar>
            <w:vAlign w:val="center"/>
          </w:tcPr>
          <w:p w14:paraId="1B44801B" w14:textId="77777777" w:rsidR="00C26E05" w:rsidRDefault="00C26E05">
            <w:pPr>
              <w:keepNext/>
              <w:keepLines/>
              <w:spacing w:after="0" w:line="240" w:lineRule="auto"/>
            </w:pPr>
          </w:p>
        </w:tc>
        <w:tc>
          <w:tcPr>
            <w:tcW w:w="3180" w:type="dxa"/>
            <w:tcMar>
              <w:top w:w="0" w:type="dxa"/>
              <w:bottom w:w="0" w:type="dxa"/>
            </w:tcMar>
            <w:vAlign w:val="center"/>
          </w:tcPr>
          <w:p w14:paraId="2DF340EF" w14:textId="77777777" w:rsidR="00C26E05"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680EE258" w14:textId="77777777" w:rsidR="00C26E05" w:rsidRDefault="00000000">
            <w:pPr>
              <w:keepNext/>
              <w:keepLines/>
              <w:spacing w:after="0" w:line="240" w:lineRule="auto"/>
            </w:pPr>
            <w:r>
              <w:rPr>
                <w:b/>
                <w:sz w:val="18"/>
              </w:rPr>
              <w:t>X001</w:t>
            </w:r>
          </w:p>
        </w:tc>
        <w:tc>
          <w:tcPr>
            <w:tcW w:w="1860" w:type="dxa"/>
            <w:tcMar>
              <w:top w:w="0" w:type="dxa"/>
              <w:bottom w:w="0" w:type="dxa"/>
            </w:tcMar>
            <w:vAlign w:val="center"/>
          </w:tcPr>
          <w:p w14:paraId="1E0E3BCA" w14:textId="77777777" w:rsidR="00C26E05" w:rsidRDefault="00000000">
            <w:pPr>
              <w:keepNext/>
              <w:keepLines/>
              <w:spacing w:after="0" w:line="240" w:lineRule="auto"/>
              <w:jc w:val="right"/>
            </w:pPr>
            <w:r>
              <w:rPr>
                <w:b/>
                <w:sz w:val="18"/>
              </w:rPr>
              <w:t>0,00</w:t>
            </w:r>
          </w:p>
        </w:tc>
        <w:tc>
          <w:tcPr>
            <w:tcW w:w="1860" w:type="dxa"/>
            <w:tcMar>
              <w:top w:w="0" w:type="dxa"/>
              <w:bottom w:w="0" w:type="dxa"/>
            </w:tcMar>
            <w:vAlign w:val="center"/>
          </w:tcPr>
          <w:p w14:paraId="2318647D" w14:textId="77777777" w:rsidR="00C26E05" w:rsidRDefault="00000000">
            <w:pPr>
              <w:keepNext/>
              <w:keepLines/>
              <w:spacing w:after="0" w:line="240" w:lineRule="auto"/>
              <w:jc w:val="right"/>
            </w:pPr>
            <w:r>
              <w:rPr>
                <w:b/>
                <w:sz w:val="18"/>
              </w:rPr>
              <w:t>26.436,96</w:t>
            </w:r>
          </w:p>
        </w:tc>
        <w:tc>
          <w:tcPr>
            <w:tcW w:w="700" w:type="dxa"/>
            <w:tcMar>
              <w:top w:w="0" w:type="dxa"/>
              <w:bottom w:w="0" w:type="dxa"/>
            </w:tcMar>
            <w:vAlign w:val="center"/>
          </w:tcPr>
          <w:p w14:paraId="79D3DA69" w14:textId="77777777" w:rsidR="00C26E05" w:rsidRDefault="00000000">
            <w:pPr>
              <w:keepNext/>
              <w:keepLines/>
              <w:spacing w:after="0" w:line="240" w:lineRule="auto"/>
              <w:jc w:val="right"/>
            </w:pPr>
            <w:r>
              <w:rPr>
                <w:b/>
                <w:sz w:val="18"/>
              </w:rPr>
              <w:t>-</w:t>
            </w:r>
          </w:p>
        </w:tc>
      </w:tr>
      <w:tr w:rsidR="00C26E05" w14:paraId="6ACBF4CB" w14:textId="77777777">
        <w:tblPrEx>
          <w:tblCellMar>
            <w:top w:w="0" w:type="dxa"/>
            <w:bottom w:w="0" w:type="dxa"/>
          </w:tblCellMar>
        </w:tblPrEx>
        <w:trPr>
          <w:cantSplit/>
          <w:trHeight w:val="560"/>
        </w:trPr>
        <w:tc>
          <w:tcPr>
            <w:tcW w:w="700" w:type="dxa"/>
            <w:tcMar>
              <w:top w:w="0" w:type="dxa"/>
              <w:bottom w:w="0" w:type="dxa"/>
            </w:tcMar>
            <w:vAlign w:val="center"/>
          </w:tcPr>
          <w:p w14:paraId="6CB509C5" w14:textId="77777777" w:rsidR="00C26E05" w:rsidRDefault="00000000">
            <w:pPr>
              <w:keepNext/>
              <w:keepLines/>
              <w:spacing w:after="0" w:line="240" w:lineRule="auto"/>
            </w:pPr>
            <w:r>
              <w:rPr>
                <w:sz w:val="18"/>
              </w:rPr>
              <w:t>7</w:t>
            </w:r>
          </w:p>
        </w:tc>
        <w:tc>
          <w:tcPr>
            <w:tcW w:w="3180" w:type="dxa"/>
            <w:tcMar>
              <w:top w:w="0" w:type="dxa"/>
              <w:bottom w:w="0" w:type="dxa"/>
            </w:tcMar>
            <w:vAlign w:val="center"/>
          </w:tcPr>
          <w:p w14:paraId="7844C1B3" w14:textId="77777777" w:rsidR="00C26E05"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00C7E90A" w14:textId="77777777" w:rsidR="00C26E05" w:rsidRDefault="00000000">
            <w:pPr>
              <w:keepNext/>
              <w:keepLines/>
              <w:spacing w:after="0" w:line="240" w:lineRule="auto"/>
            </w:pPr>
            <w:r>
              <w:rPr>
                <w:sz w:val="18"/>
              </w:rPr>
              <w:t>7</w:t>
            </w:r>
          </w:p>
        </w:tc>
        <w:tc>
          <w:tcPr>
            <w:tcW w:w="1860" w:type="dxa"/>
            <w:tcMar>
              <w:top w:w="0" w:type="dxa"/>
              <w:bottom w:w="0" w:type="dxa"/>
            </w:tcMar>
            <w:vAlign w:val="center"/>
          </w:tcPr>
          <w:p w14:paraId="1043E599" w14:textId="77777777" w:rsidR="00C26E05" w:rsidRDefault="00000000">
            <w:pPr>
              <w:keepNext/>
              <w:keepLines/>
              <w:spacing w:after="0" w:line="240" w:lineRule="auto"/>
              <w:jc w:val="right"/>
            </w:pPr>
            <w:r>
              <w:rPr>
                <w:sz w:val="18"/>
              </w:rPr>
              <w:t>0,00</w:t>
            </w:r>
          </w:p>
        </w:tc>
        <w:tc>
          <w:tcPr>
            <w:tcW w:w="1860" w:type="dxa"/>
            <w:tcMar>
              <w:top w:w="0" w:type="dxa"/>
              <w:bottom w:w="0" w:type="dxa"/>
            </w:tcMar>
            <w:vAlign w:val="center"/>
          </w:tcPr>
          <w:p w14:paraId="17CBE492" w14:textId="77777777" w:rsidR="00C26E05" w:rsidRDefault="00000000">
            <w:pPr>
              <w:keepNext/>
              <w:keepLines/>
              <w:spacing w:after="0" w:line="240" w:lineRule="auto"/>
              <w:jc w:val="right"/>
            </w:pPr>
            <w:r>
              <w:rPr>
                <w:sz w:val="18"/>
              </w:rPr>
              <w:t>0,00</w:t>
            </w:r>
          </w:p>
        </w:tc>
        <w:tc>
          <w:tcPr>
            <w:tcW w:w="700" w:type="dxa"/>
            <w:tcMar>
              <w:top w:w="0" w:type="dxa"/>
              <w:bottom w:w="0" w:type="dxa"/>
            </w:tcMar>
            <w:vAlign w:val="center"/>
          </w:tcPr>
          <w:p w14:paraId="040C66AF" w14:textId="77777777" w:rsidR="00C26E05" w:rsidRDefault="00000000">
            <w:pPr>
              <w:keepNext/>
              <w:keepLines/>
              <w:spacing w:after="0" w:line="240" w:lineRule="auto"/>
              <w:jc w:val="right"/>
            </w:pPr>
            <w:r>
              <w:rPr>
                <w:sz w:val="18"/>
              </w:rPr>
              <w:t>-</w:t>
            </w:r>
          </w:p>
        </w:tc>
      </w:tr>
      <w:tr w:rsidR="00C26E05" w14:paraId="49EA8F84" w14:textId="77777777">
        <w:tblPrEx>
          <w:tblCellMar>
            <w:top w:w="0" w:type="dxa"/>
            <w:bottom w:w="0" w:type="dxa"/>
          </w:tblCellMar>
        </w:tblPrEx>
        <w:trPr>
          <w:cantSplit/>
          <w:trHeight w:val="560"/>
        </w:trPr>
        <w:tc>
          <w:tcPr>
            <w:tcW w:w="700" w:type="dxa"/>
            <w:tcMar>
              <w:top w:w="0" w:type="dxa"/>
              <w:bottom w:w="0" w:type="dxa"/>
            </w:tcMar>
            <w:vAlign w:val="center"/>
          </w:tcPr>
          <w:p w14:paraId="2D7AEE32" w14:textId="77777777" w:rsidR="00C26E05" w:rsidRDefault="00000000">
            <w:pPr>
              <w:keepNext/>
              <w:keepLines/>
              <w:spacing w:after="0" w:line="240" w:lineRule="auto"/>
            </w:pPr>
            <w:r>
              <w:rPr>
                <w:sz w:val="18"/>
              </w:rPr>
              <w:t>4</w:t>
            </w:r>
          </w:p>
        </w:tc>
        <w:tc>
          <w:tcPr>
            <w:tcW w:w="3180" w:type="dxa"/>
            <w:tcMar>
              <w:top w:w="0" w:type="dxa"/>
              <w:bottom w:w="0" w:type="dxa"/>
            </w:tcMar>
            <w:vAlign w:val="center"/>
          </w:tcPr>
          <w:p w14:paraId="6010B952" w14:textId="77777777" w:rsidR="00C26E05"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7CA271BA" w14:textId="77777777" w:rsidR="00C26E05" w:rsidRDefault="00000000">
            <w:pPr>
              <w:keepNext/>
              <w:keepLines/>
              <w:spacing w:after="0" w:line="240" w:lineRule="auto"/>
            </w:pPr>
            <w:r>
              <w:rPr>
                <w:sz w:val="18"/>
              </w:rPr>
              <w:t>4</w:t>
            </w:r>
          </w:p>
        </w:tc>
        <w:tc>
          <w:tcPr>
            <w:tcW w:w="1860" w:type="dxa"/>
            <w:tcMar>
              <w:top w:w="0" w:type="dxa"/>
              <w:bottom w:w="0" w:type="dxa"/>
            </w:tcMar>
            <w:vAlign w:val="center"/>
          </w:tcPr>
          <w:p w14:paraId="7EF1DED5" w14:textId="77777777" w:rsidR="00C26E05" w:rsidRDefault="00000000">
            <w:pPr>
              <w:keepNext/>
              <w:keepLines/>
              <w:spacing w:after="0" w:line="240" w:lineRule="auto"/>
              <w:jc w:val="right"/>
            </w:pPr>
            <w:r>
              <w:rPr>
                <w:sz w:val="18"/>
              </w:rPr>
              <w:t>8.541,83</w:t>
            </w:r>
          </w:p>
        </w:tc>
        <w:tc>
          <w:tcPr>
            <w:tcW w:w="1860" w:type="dxa"/>
            <w:tcMar>
              <w:top w:w="0" w:type="dxa"/>
              <w:bottom w:w="0" w:type="dxa"/>
            </w:tcMar>
            <w:vAlign w:val="center"/>
          </w:tcPr>
          <w:p w14:paraId="1FFE91BC" w14:textId="77777777" w:rsidR="00C26E05" w:rsidRDefault="00000000">
            <w:pPr>
              <w:keepNext/>
              <w:keepLines/>
              <w:spacing w:after="0" w:line="240" w:lineRule="auto"/>
              <w:jc w:val="right"/>
            </w:pPr>
            <w:r>
              <w:rPr>
                <w:sz w:val="18"/>
              </w:rPr>
              <w:t>7.136,91</w:t>
            </w:r>
          </w:p>
        </w:tc>
        <w:tc>
          <w:tcPr>
            <w:tcW w:w="700" w:type="dxa"/>
            <w:tcMar>
              <w:top w:w="0" w:type="dxa"/>
              <w:bottom w:w="0" w:type="dxa"/>
            </w:tcMar>
            <w:vAlign w:val="center"/>
          </w:tcPr>
          <w:p w14:paraId="0429929F" w14:textId="77777777" w:rsidR="00C26E05" w:rsidRDefault="00000000">
            <w:pPr>
              <w:keepNext/>
              <w:keepLines/>
              <w:spacing w:after="0" w:line="240" w:lineRule="auto"/>
              <w:jc w:val="right"/>
            </w:pPr>
            <w:r>
              <w:rPr>
                <w:sz w:val="18"/>
              </w:rPr>
              <w:t>83,6</w:t>
            </w:r>
          </w:p>
        </w:tc>
      </w:tr>
      <w:tr w:rsidR="00C26E05" w14:paraId="7217612D" w14:textId="77777777">
        <w:tblPrEx>
          <w:tblCellMar>
            <w:top w:w="0" w:type="dxa"/>
            <w:bottom w:w="0" w:type="dxa"/>
          </w:tblCellMar>
        </w:tblPrEx>
        <w:trPr>
          <w:cantSplit/>
          <w:trHeight w:val="560"/>
        </w:trPr>
        <w:tc>
          <w:tcPr>
            <w:tcW w:w="700" w:type="dxa"/>
            <w:tcMar>
              <w:top w:w="0" w:type="dxa"/>
              <w:bottom w:w="0" w:type="dxa"/>
            </w:tcMar>
            <w:vAlign w:val="center"/>
          </w:tcPr>
          <w:p w14:paraId="469085CE" w14:textId="77777777" w:rsidR="00C26E05" w:rsidRDefault="00C26E05">
            <w:pPr>
              <w:keepNext/>
              <w:keepLines/>
              <w:spacing w:after="0" w:line="240" w:lineRule="auto"/>
            </w:pPr>
          </w:p>
        </w:tc>
        <w:tc>
          <w:tcPr>
            <w:tcW w:w="3180" w:type="dxa"/>
            <w:tcMar>
              <w:top w:w="0" w:type="dxa"/>
              <w:bottom w:w="0" w:type="dxa"/>
            </w:tcMar>
            <w:vAlign w:val="center"/>
          </w:tcPr>
          <w:p w14:paraId="316A1B49" w14:textId="77777777" w:rsidR="00C26E05"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4EA58521" w14:textId="77777777" w:rsidR="00C26E05" w:rsidRDefault="00000000">
            <w:pPr>
              <w:keepNext/>
              <w:keepLines/>
              <w:spacing w:after="0" w:line="240" w:lineRule="auto"/>
            </w:pPr>
            <w:r>
              <w:rPr>
                <w:b/>
                <w:sz w:val="18"/>
              </w:rPr>
              <w:t>Y002</w:t>
            </w:r>
          </w:p>
        </w:tc>
        <w:tc>
          <w:tcPr>
            <w:tcW w:w="1860" w:type="dxa"/>
            <w:tcMar>
              <w:top w:w="0" w:type="dxa"/>
              <w:bottom w:w="0" w:type="dxa"/>
            </w:tcMar>
            <w:vAlign w:val="center"/>
          </w:tcPr>
          <w:p w14:paraId="3EF11303" w14:textId="77777777" w:rsidR="00C26E05" w:rsidRDefault="00000000">
            <w:pPr>
              <w:keepNext/>
              <w:keepLines/>
              <w:spacing w:after="0" w:line="240" w:lineRule="auto"/>
              <w:jc w:val="right"/>
            </w:pPr>
            <w:r>
              <w:rPr>
                <w:b/>
                <w:sz w:val="18"/>
              </w:rPr>
              <w:t>8.541,83</w:t>
            </w:r>
          </w:p>
        </w:tc>
        <w:tc>
          <w:tcPr>
            <w:tcW w:w="1860" w:type="dxa"/>
            <w:tcMar>
              <w:top w:w="0" w:type="dxa"/>
              <w:bottom w:w="0" w:type="dxa"/>
            </w:tcMar>
            <w:vAlign w:val="center"/>
          </w:tcPr>
          <w:p w14:paraId="417333A1" w14:textId="77777777" w:rsidR="00C26E05" w:rsidRDefault="00000000">
            <w:pPr>
              <w:keepNext/>
              <w:keepLines/>
              <w:spacing w:after="0" w:line="240" w:lineRule="auto"/>
              <w:jc w:val="right"/>
            </w:pPr>
            <w:r>
              <w:rPr>
                <w:b/>
                <w:sz w:val="18"/>
              </w:rPr>
              <w:t>7.136,91</w:t>
            </w:r>
          </w:p>
        </w:tc>
        <w:tc>
          <w:tcPr>
            <w:tcW w:w="700" w:type="dxa"/>
            <w:tcMar>
              <w:top w:w="0" w:type="dxa"/>
              <w:bottom w:w="0" w:type="dxa"/>
            </w:tcMar>
            <w:vAlign w:val="center"/>
          </w:tcPr>
          <w:p w14:paraId="7B9083A6" w14:textId="77777777" w:rsidR="00C26E05" w:rsidRDefault="00000000">
            <w:pPr>
              <w:keepNext/>
              <w:keepLines/>
              <w:spacing w:after="0" w:line="240" w:lineRule="auto"/>
              <w:jc w:val="right"/>
            </w:pPr>
            <w:r>
              <w:rPr>
                <w:b/>
                <w:sz w:val="18"/>
              </w:rPr>
              <w:t>83,6</w:t>
            </w:r>
          </w:p>
        </w:tc>
      </w:tr>
      <w:tr w:rsidR="00C26E05" w14:paraId="69F9D10B" w14:textId="77777777">
        <w:tblPrEx>
          <w:tblCellMar>
            <w:top w:w="0" w:type="dxa"/>
            <w:bottom w:w="0" w:type="dxa"/>
          </w:tblCellMar>
        </w:tblPrEx>
        <w:trPr>
          <w:cantSplit/>
          <w:trHeight w:val="560"/>
        </w:trPr>
        <w:tc>
          <w:tcPr>
            <w:tcW w:w="700" w:type="dxa"/>
            <w:tcMar>
              <w:top w:w="0" w:type="dxa"/>
              <w:bottom w:w="0" w:type="dxa"/>
            </w:tcMar>
            <w:vAlign w:val="center"/>
          </w:tcPr>
          <w:p w14:paraId="05F7EE84" w14:textId="77777777" w:rsidR="00C26E05" w:rsidRDefault="00000000">
            <w:pPr>
              <w:keepNext/>
              <w:keepLines/>
              <w:spacing w:after="0" w:line="240" w:lineRule="auto"/>
            </w:pPr>
            <w:r>
              <w:rPr>
                <w:sz w:val="18"/>
              </w:rPr>
              <w:t>8</w:t>
            </w:r>
          </w:p>
        </w:tc>
        <w:tc>
          <w:tcPr>
            <w:tcW w:w="3180" w:type="dxa"/>
            <w:tcMar>
              <w:top w:w="0" w:type="dxa"/>
              <w:bottom w:w="0" w:type="dxa"/>
            </w:tcMar>
            <w:vAlign w:val="center"/>
          </w:tcPr>
          <w:p w14:paraId="1385F87A" w14:textId="77777777" w:rsidR="00C26E05"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159A0E7B" w14:textId="77777777" w:rsidR="00C26E05" w:rsidRDefault="00000000">
            <w:pPr>
              <w:keepNext/>
              <w:keepLines/>
              <w:spacing w:after="0" w:line="240" w:lineRule="auto"/>
            </w:pPr>
            <w:r>
              <w:rPr>
                <w:sz w:val="18"/>
              </w:rPr>
              <w:t>8</w:t>
            </w:r>
          </w:p>
        </w:tc>
        <w:tc>
          <w:tcPr>
            <w:tcW w:w="1860" w:type="dxa"/>
            <w:tcMar>
              <w:top w:w="0" w:type="dxa"/>
              <w:bottom w:w="0" w:type="dxa"/>
            </w:tcMar>
            <w:vAlign w:val="center"/>
          </w:tcPr>
          <w:p w14:paraId="522A33F6" w14:textId="77777777" w:rsidR="00C26E05" w:rsidRDefault="00000000">
            <w:pPr>
              <w:keepNext/>
              <w:keepLines/>
              <w:spacing w:after="0" w:line="240" w:lineRule="auto"/>
              <w:jc w:val="right"/>
            </w:pPr>
            <w:r>
              <w:rPr>
                <w:sz w:val="18"/>
              </w:rPr>
              <w:t>0,00</w:t>
            </w:r>
          </w:p>
        </w:tc>
        <w:tc>
          <w:tcPr>
            <w:tcW w:w="1860" w:type="dxa"/>
            <w:tcMar>
              <w:top w:w="0" w:type="dxa"/>
              <w:bottom w:w="0" w:type="dxa"/>
            </w:tcMar>
            <w:vAlign w:val="center"/>
          </w:tcPr>
          <w:p w14:paraId="381855CF" w14:textId="77777777" w:rsidR="00C26E05" w:rsidRDefault="00000000">
            <w:pPr>
              <w:keepNext/>
              <w:keepLines/>
              <w:spacing w:after="0" w:line="240" w:lineRule="auto"/>
              <w:jc w:val="right"/>
            </w:pPr>
            <w:r>
              <w:rPr>
                <w:sz w:val="18"/>
              </w:rPr>
              <w:t>0,00</w:t>
            </w:r>
          </w:p>
        </w:tc>
        <w:tc>
          <w:tcPr>
            <w:tcW w:w="700" w:type="dxa"/>
            <w:tcMar>
              <w:top w:w="0" w:type="dxa"/>
              <w:bottom w:w="0" w:type="dxa"/>
            </w:tcMar>
            <w:vAlign w:val="center"/>
          </w:tcPr>
          <w:p w14:paraId="18A0C031" w14:textId="77777777" w:rsidR="00C26E05" w:rsidRDefault="00000000">
            <w:pPr>
              <w:keepNext/>
              <w:keepLines/>
              <w:spacing w:after="0" w:line="240" w:lineRule="auto"/>
              <w:jc w:val="right"/>
            </w:pPr>
            <w:r>
              <w:rPr>
                <w:sz w:val="18"/>
              </w:rPr>
              <w:t>-</w:t>
            </w:r>
          </w:p>
        </w:tc>
      </w:tr>
      <w:tr w:rsidR="00C26E05" w14:paraId="375FC64F" w14:textId="77777777">
        <w:tblPrEx>
          <w:tblCellMar>
            <w:top w:w="0" w:type="dxa"/>
            <w:bottom w:w="0" w:type="dxa"/>
          </w:tblCellMar>
        </w:tblPrEx>
        <w:trPr>
          <w:cantSplit/>
          <w:trHeight w:val="560"/>
        </w:trPr>
        <w:tc>
          <w:tcPr>
            <w:tcW w:w="700" w:type="dxa"/>
            <w:tcMar>
              <w:top w:w="0" w:type="dxa"/>
              <w:bottom w:w="0" w:type="dxa"/>
            </w:tcMar>
            <w:vAlign w:val="center"/>
          </w:tcPr>
          <w:p w14:paraId="2FD58A82" w14:textId="77777777" w:rsidR="00C26E05" w:rsidRDefault="00000000">
            <w:pPr>
              <w:keepNext/>
              <w:keepLines/>
              <w:spacing w:after="0" w:line="240" w:lineRule="auto"/>
            </w:pPr>
            <w:r>
              <w:rPr>
                <w:sz w:val="18"/>
              </w:rPr>
              <w:t>5</w:t>
            </w:r>
          </w:p>
        </w:tc>
        <w:tc>
          <w:tcPr>
            <w:tcW w:w="3180" w:type="dxa"/>
            <w:tcMar>
              <w:top w:w="0" w:type="dxa"/>
              <w:bottom w:w="0" w:type="dxa"/>
            </w:tcMar>
            <w:vAlign w:val="center"/>
          </w:tcPr>
          <w:p w14:paraId="2E2F6C34" w14:textId="77777777" w:rsidR="00C26E05"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6C56CB99" w14:textId="77777777" w:rsidR="00C26E05" w:rsidRDefault="00000000">
            <w:pPr>
              <w:keepNext/>
              <w:keepLines/>
              <w:spacing w:after="0" w:line="240" w:lineRule="auto"/>
            </w:pPr>
            <w:r>
              <w:rPr>
                <w:sz w:val="18"/>
              </w:rPr>
              <w:t>5</w:t>
            </w:r>
          </w:p>
        </w:tc>
        <w:tc>
          <w:tcPr>
            <w:tcW w:w="1860" w:type="dxa"/>
            <w:tcMar>
              <w:top w:w="0" w:type="dxa"/>
              <w:bottom w:w="0" w:type="dxa"/>
            </w:tcMar>
            <w:vAlign w:val="center"/>
          </w:tcPr>
          <w:p w14:paraId="58CD9C13" w14:textId="77777777" w:rsidR="00C26E05" w:rsidRDefault="00000000">
            <w:pPr>
              <w:keepNext/>
              <w:keepLines/>
              <w:spacing w:after="0" w:line="240" w:lineRule="auto"/>
              <w:jc w:val="right"/>
            </w:pPr>
            <w:r>
              <w:rPr>
                <w:sz w:val="18"/>
              </w:rPr>
              <w:t>0,00</w:t>
            </w:r>
          </w:p>
        </w:tc>
        <w:tc>
          <w:tcPr>
            <w:tcW w:w="1860" w:type="dxa"/>
            <w:tcMar>
              <w:top w:w="0" w:type="dxa"/>
              <w:bottom w:w="0" w:type="dxa"/>
            </w:tcMar>
            <w:vAlign w:val="center"/>
          </w:tcPr>
          <w:p w14:paraId="62E96987" w14:textId="77777777" w:rsidR="00C26E05" w:rsidRDefault="00000000">
            <w:pPr>
              <w:keepNext/>
              <w:keepLines/>
              <w:spacing w:after="0" w:line="240" w:lineRule="auto"/>
              <w:jc w:val="right"/>
            </w:pPr>
            <w:r>
              <w:rPr>
                <w:sz w:val="18"/>
              </w:rPr>
              <w:t>0,00</w:t>
            </w:r>
          </w:p>
        </w:tc>
        <w:tc>
          <w:tcPr>
            <w:tcW w:w="700" w:type="dxa"/>
            <w:tcMar>
              <w:top w:w="0" w:type="dxa"/>
              <w:bottom w:w="0" w:type="dxa"/>
            </w:tcMar>
            <w:vAlign w:val="center"/>
          </w:tcPr>
          <w:p w14:paraId="2F825E13" w14:textId="77777777" w:rsidR="00C26E05" w:rsidRDefault="00000000">
            <w:pPr>
              <w:keepNext/>
              <w:keepLines/>
              <w:spacing w:after="0" w:line="240" w:lineRule="auto"/>
              <w:jc w:val="right"/>
            </w:pPr>
            <w:r>
              <w:rPr>
                <w:sz w:val="18"/>
              </w:rPr>
              <w:t>-</w:t>
            </w:r>
          </w:p>
        </w:tc>
      </w:tr>
      <w:tr w:rsidR="00C26E05" w14:paraId="2B404347" w14:textId="77777777">
        <w:tblPrEx>
          <w:tblCellMar>
            <w:top w:w="0" w:type="dxa"/>
            <w:bottom w:w="0" w:type="dxa"/>
          </w:tblCellMar>
        </w:tblPrEx>
        <w:trPr>
          <w:cantSplit/>
          <w:trHeight w:val="560"/>
        </w:trPr>
        <w:tc>
          <w:tcPr>
            <w:tcW w:w="700" w:type="dxa"/>
            <w:tcMar>
              <w:top w:w="0" w:type="dxa"/>
              <w:bottom w:w="0" w:type="dxa"/>
            </w:tcMar>
            <w:vAlign w:val="center"/>
          </w:tcPr>
          <w:p w14:paraId="7047A282" w14:textId="77777777" w:rsidR="00C26E05" w:rsidRDefault="00C26E05">
            <w:pPr>
              <w:keepNext/>
              <w:keepLines/>
              <w:spacing w:after="0" w:line="240" w:lineRule="auto"/>
            </w:pPr>
          </w:p>
        </w:tc>
        <w:tc>
          <w:tcPr>
            <w:tcW w:w="3180" w:type="dxa"/>
            <w:tcMar>
              <w:top w:w="0" w:type="dxa"/>
              <w:bottom w:w="0" w:type="dxa"/>
            </w:tcMar>
            <w:vAlign w:val="center"/>
          </w:tcPr>
          <w:p w14:paraId="07323EF4" w14:textId="77777777" w:rsidR="00C26E05"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2DA5D582" w14:textId="77777777" w:rsidR="00C26E05" w:rsidRDefault="00000000">
            <w:pPr>
              <w:keepNext/>
              <w:keepLines/>
              <w:spacing w:after="0" w:line="240" w:lineRule="auto"/>
            </w:pPr>
            <w:r>
              <w:rPr>
                <w:b/>
                <w:sz w:val="18"/>
              </w:rPr>
              <w:t>X003, Y003</w:t>
            </w:r>
          </w:p>
        </w:tc>
        <w:tc>
          <w:tcPr>
            <w:tcW w:w="1860" w:type="dxa"/>
            <w:tcMar>
              <w:top w:w="0" w:type="dxa"/>
              <w:bottom w:w="0" w:type="dxa"/>
            </w:tcMar>
            <w:vAlign w:val="center"/>
          </w:tcPr>
          <w:p w14:paraId="4DFC9EEA" w14:textId="77777777" w:rsidR="00C26E05" w:rsidRDefault="00000000">
            <w:pPr>
              <w:keepNext/>
              <w:keepLines/>
              <w:spacing w:after="0" w:line="240" w:lineRule="auto"/>
              <w:jc w:val="right"/>
            </w:pPr>
            <w:r>
              <w:rPr>
                <w:b/>
                <w:sz w:val="18"/>
              </w:rPr>
              <w:t>0,00</w:t>
            </w:r>
          </w:p>
        </w:tc>
        <w:tc>
          <w:tcPr>
            <w:tcW w:w="1860" w:type="dxa"/>
            <w:tcMar>
              <w:top w:w="0" w:type="dxa"/>
              <w:bottom w:w="0" w:type="dxa"/>
            </w:tcMar>
            <w:vAlign w:val="center"/>
          </w:tcPr>
          <w:p w14:paraId="6F6943CF" w14:textId="77777777" w:rsidR="00C26E05" w:rsidRDefault="00000000">
            <w:pPr>
              <w:keepNext/>
              <w:keepLines/>
              <w:spacing w:after="0" w:line="240" w:lineRule="auto"/>
              <w:jc w:val="right"/>
            </w:pPr>
            <w:r>
              <w:rPr>
                <w:b/>
                <w:sz w:val="18"/>
              </w:rPr>
              <w:t>0,00</w:t>
            </w:r>
          </w:p>
        </w:tc>
        <w:tc>
          <w:tcPr>
            <w:tcW w:w="700" w:type="dxa"/>
            <w:tcMar>
              <w:top w:w="0" w:type="dxa"/>
              <w:bottom w:w="0" w:type="dxa"/>
            </w:tcMar>
            <w:vAlign w:val="center"/>
          </w:tcPr>
          <w:p w14:paraId="345B3D02" w14:textId="77777777" w:rsidR="00C26E05" w:rsidRDefault="00000000">
            <w:pPr>
              <w:keepNext/>
              <w:keepLines/>
              <w:spacing w:after="0" w:line="240" w:lineRule="auto"/>
              <w:jc w:val="right"/>
            </w:pPr>
            <w:r>
              <w:rPr>
                <w:b/>
                <w:sz w:val="18"/>
              </w:rPr>
              <w:t>-</w:t>
            </w:r>
          </w:p>
        </w:tc>
      </w:tr>
      <w:tr w:rsidR="00C26E05" w14:paraId="2A39ABEA" w14:textId="77777777">
        <w:tblPrEx>
          <w:tblCellMar>
            <w:top w:w="0" w:type="dxa"/>
            <w:bottom w:w="0" w:type="dxa"/>
          </w:tblCellMar>
        </w:tblPrEx>
        <w:trPr>
          <w:cantSplit/>
          <w:trHeight w:val="560"/>
        </w:trPr>
        <w:tc>
          <w:tcPr>
            <w:tcW w:w="700" w:type="dxa"/>
            <w:tcMar>
              <w:top w:w="0" w:type="dxa"/>
              <w:bottom w:w="0" w:type="dxa"/>
            </w:tcMar>
            <w:vAlign w:val="center"/>
          </w:tcPr>
          <w:p w14:paraId="5B61D48E" w14:textId="77777777" w:rsidR="00C26E05" w:rsidRDefault="00C26E05">
            <w:pPr>
              <w:keepNext/>
              <w:keepLines/>
              <w:spacing w:after="0" w:line="240" w:lineRule="auto"/>
            </w:pPr>
          </w:p>
        </w:tc>
        <w:tc>
          <w:tcPr>
            <w:tcW w:w="3180" w:type="dxa"/>
            <w:tcMar>
              <w:top w:w="0" w:type="dxa"/>
              <w:bottom w:w="0" w:type="dxa"/>
            </w:tcMar>
            <w:vAlign w:val="center"/>
          </w:tcPr>
          <w:p w14:paraId="53243CA7" w14:textId="77777777" w:rsidR="00C26E05" w:rsidRDefault="00000000">
            <w:pPr>
              <w:keepNext/>
              <w:keepLines/>
              <w:spacing w:after="0" w:line="240" w:lineRule="auto"/>
            </w:pPr>
            <w:r>
              <w:rPr>
                <w:b/>
                <w:sz w:val="18"/>
              </w:rPr>
              <w:t>VIŠAK PRIHODA I PRIMITAKA (šifre X678-Y345)</w:t>
            </w:r>
          </w:p>
        </w:tc>
        <w:tc>
          <w:tcPr>
            <w:tcW w:w="700" w:type="dxa"/>
            <w:tcMar>
              <w:top w:w="0" w:type="dxa"/>
              <w:bottom w:w="0" w:type="dxa"/>
            </w:tcMar>
            <w:vAlign w:val="center"/>
          </w:tcPr>
          <w:p w14:paraId="3037B02E" w14:textId="77777777" w:rsidR="00C26E05" w:rsidRDefault="00000000">
            <w:pPr>
              <w:keepNext/>
              <w:keepLines/>
              <w:spacing w:after="0" w:line="240" w:lineRule="auto"/>
            </w:pPr>
            <w:r>
              <w:rPr>
                <w:b/>
                <w:sz w:val="18"/>
              </w:rPr>
              <w:t>X005</w:t>
            </w:r>
          </w:p>
        </w:tc>
        <w:tc>
          <w:tcPr>
            <w:tcW w:w="1860" w:type="dxa"/>
            <w:tcMar>
              <w:top w:w="0" w:type="dxa"/>
              <w:bottom w:w="0" w:type="dxa"/>
            </w:tcMar>
            <w:vAlign w:val="center"/>
          </w:tcPr>
          <w:p w14:paraId="636EA28F" w14:textId="77777777" w:rsidR="00C26E05" w:rsidRDefault="00000000">
            <w:pPr>
              <w:keepNext/>
              <w:keepLines/>
              <w:spacing w:after="0" w:line="240" w:lineRule="auto"/>
              <w:jc w:val="right"/>
            </w:pPr>
            <w:r>
              <w:rPr>
                <w:b/>
                <w:sz w:val="18"/>
              </w:rPr>
              <w:t>0,00</w:t>
            </w:r>
          </w:p>
        </w:tc>
        <w:tc>
          <w:tcPr>
            <w:tcW w:w="1860" w:type="dxa"/>
            <w:tcMar>
              <w:top w:w="0" w:type="dxa"/>
              <w:bottom w:w="0" w:type="dxa"/>
            </w:tcMar>
            <w:vAlign w:val="center"/>
          </w:tcPr>
          <w:p w14:paraId="265F3D97" w14:textId="77777777" w:rsidR="00C26E05" w:rsidRDefault="00000000">
            <w:pPr>
              <w:keepNext/>
              <w:keepLines/>
              <w:spacing w:after="0" w:line="240" w:lineRule="auto"/>
              <w:jc w:val="right"/>
            </w:pPr>
            <w:r>
              <w:rPr>
                <w:b/>
                <w:sz w:val="18"/>
              </w:rPr>
              <w:t>19.300,05</w:t>
            </w:r>
          </w:p>
        </w:tc>
        <w:tc>
          <w:tcPr>
            <w:tcW w:w="700" w:type="dxa"/>
            <w:tcMar>
              <w:top w:w="0" w:type="dxa"/>
              <w:bottom w:w="0" w:type="dxa"/>
            </w:tcMar>
            <w:vAlign w:val="center"/>
          </w:tcPr>
          <w:p w14:paraId="2ECA8413" w14:textId="77777777" w:rsidR="00C26E05" w:rsidRDefault="00000000">
            <w:pPr>
              <w:keepNext/>
              <w:keepLines/>
              <w:spacing w:after="0" w:line="240" w:lineRule="auto"/>
              <w:jc w:val="right"/>
            </w:pPr>
            <w:r>
              <w:rPr>
                <w:b/>
                <w:sz w:val="18"/>
              </w:rPr>
              <w:t>-</w:t>
            </w:r>
          </w:p>
        </w:tc>
      </w:tr>
    </w:tbl>
    <w:p w14:paraId="0184EFC7" w14:textId="77777777" w:rsidR="00C26E05" w:rsidRDefault="00C26E05">
      <w:pPr>
        <w:spacing w:after="0"/>
      </w:pPr>
    </w:p>
    <w:p w14:paraId="63EF4882" w14:textId="77777777" w:rsidR="00C26E05" w:rsidRDefault="00000000">
      <w:r>
        <w:t>Centar je u ovom izvještajnom razdoblju ostvario višak prihoda u iznosu od 19.300,05 eura, što s prenesenim manjkom prihoda iz prethodnog razdoblja rezultira ukupnim manjkom prihoda i primitaka za pokriće u sljedećem razdoblju u iznosu od 5.368,30 eura.</w:t>
      </w:r>
    </w:p>
    <w:p w14:paraId="6DBD8B4D" w14:textId="77777777" w:rsidR="00C26E05" w:rsidRDefault="00000000">
      <w:r>
        <w:t>Višak prihoda poslovanja u iznosu 26.436,96 eura rezultat je viška prihoda nad rashodima iz vlastitih izvora (prihodi ostvareni od tečajeva, radionica, ulaznica i najma prostora) te viška prihoda nad rashodima vezanih za finalizaciju EU projekata.</w:t>
      </w:r>
    </w:p>
    <w:p w14:paraId="1B95F9BE" w14:textId="77777777" w:rsidR="00C26E05" w:rsidRDefault="00000000">
      <w:r>
        <w:lastRenderedPageBreak/>
        <w:t>Manjak prihoda od nefinancijske imovine rezultat je nabave nefinancijske imovine koja je financirana iz vlastitih prihoda poslovanja.</w:t>
      </w:r>
    </w:p>
    <w:p w14:paraId="639AAFBC" w14:textId="77777777" w:rsidR="00C26E05" w:rsidRDefault="00000000">
      <w:r>
        <w:br/>
      </w:r>
    </w:p>
    <w:p w14:paraId="4054A49A" w14:textId="77777777" w:rsidR="00C26E05"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6E05" w14:paraId="4500E38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3B719A" w14:textId="77777777" w:rsidR="00C26E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81E9A1" w14:textId="77777777" w:rsidR="00C26E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EC8050" w14:textId="77777777" w:rsidR="00C26E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0320BB" w14:textId="77777777" w:rsidR="00C26E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0B6B18" w14:textId="77777777" w:rsidR="00C26E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318444C" w14:textId="77777777" w:rsidR="00C26E05" w:rsidRDefault="00000000">
            <w:pPr>
              <w:keepNext/>
              <w:keepLines/>
              <w:spacing w:after="0" w:line="240" w:lineRule="auto"/>
              <w:jc w:val="center"/>
            </w:pPr>
            <w:r>
              <w:rPr>
                <w:b/>
                <w:sz w:val="18"/>
              </w:rPr>
              <w:t>Indeks (%)</w:t>
            </w:r>
          </w:p>
        </w:tc>
      </w:tr>
      <w:tr w:rsidR="00C26E05" w14:paraId="5D81DF70" w14:textId="77777777">
        <w:tblPrEx>
          <w:tblCellMar>
            <w:top w:w="0" w:type="dxa"/>
            <w:bottom w:w="0" w:type="dxa"/>
          </w:tblCellMar>
        </w:tblPrEx>
        <w:trPr>
          <w:cantSplit/>
          <w:trHeight w:val="560"/>
        </w:trPr>
        <w:tc>
          <w:tcPr>
            <w:tcW w:w="700" w:type="dxa"/>
            <w:tcMar>
              <w:top w:w="0" w:type="dxa"/>
              <w:bottom w:w="0" w:type="dxa"/>
            </w:tcMar>
            <w:vAlign w:val="center"/>
          </w:tcPr>
          <w:p w14:paraId="4E24F281" w14:textId="77777777" w:rsidR="00C26E05" w:rsidRDefault="00000000">
            <w:pPr>
              <w:keepNext/>
              <w:keepLines/>
              <w:spacing w:after="0" w:line="240" w:lineRule="auto"/>
            </w:pPr>
            <w:r>
              <w:rPr>
                <w:sz w:val="18"/>
              </w:rPr>
              <w:t>6</w:t>
            </w:r>
          </w:p>
        </w:tc>
        <w:tc>
          <w:tcPr>
            <w:tcW w:w="3180" w:type="dxa"/>
            <w:tcMar>
              <w:top w:w="0" w:type="dxa"/>
              <w:bottom w:w="0" w:type="dxa"/>
            </w:tcMar>
            <w:vAlign w:val="center"/>
          </w:tcPr>
          <w:p w14:paraId="7A781780" w14:textId="77777777" w:rsidR="00C26E05"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6C2A8521" w14:textId="77777777" w:rsidR="00C26E05" w:rsidRDefault="00000000">
            <w:pPr>
              <w:keepNext/>
              <w:keepLines/>
              <w:spacing w:after="0" w:line="240" w:lineRule="auto"/>
            </w:pPr>
            <w:r>
              <w:rPr>
                <w:sz w:val="18"/>
              </w:rPr>
              <w:t>6</w:t>
            </w:r>
          </w:p>
        </w:tc>
        <w:tc>
          <w:tcPr>
            <w:tcW w:w="1860" w:type="dxa"/>
            <w:tcMar>
              <w:top w:w="0" w:type="dxa"/>
              <w:bottom w:w="0" w:type="dxa"/>
            </w:tcMar>
            <w:vAlign w:val="center"/>
          </w:tcPr>
          <w:p w14:paraId="3642381A" w14:textId="77777777" w:rsidR="00C26E05" w:rsidRDefault="00000000">
            <w:pPr>
              <w:keepNext/>
              <w:keepLines/>
              <w:spacing w:after="0" w:line="240" w:lineRule="auto"/>
              <w:jc w:val="right"/>
            </w:pPr>
            <w:r>
              <w:rPr>
                <w:sz w:val="18"/>
              </w:rPr>
              <w:t>642.922,83</w:t>
            </w:r>
          </w:p>
        </w:tc>
        <w:tc>
          <w:tcPr>
            <w:tcW w:w="1860" w:type="dxa"/>
            <w:tcMar>
              <w:top w:w="0" w:type="dxa"/>
              <w:bottom w:w="0" w:type="dxa"/>
            </w:tcMar>
            <w:vAlign w:val="center"/>
          </w:tcPr>
          <w:p w14:paraId="256F13B1" w14:textId="77777777" w:rsidR="00C26E05" w:rsidRDefault="00000000">
            <w:pPr>
              <w:keepNext/>
              <w:keepLines/>
              <w:spacing w:after="0" w:line="240" w:lineRule="auto"/>
              <w:jc w:val="right"/>
            </w:pPr>
            <w:r>
              <w:rPr>
                <w:sz w:val="18"/>
              </w:rPr>
              <w:t>894.160,41</w:t>
            </w:r>
          </w:p>
        </w:tc>
        <w:tc>
          <w:tcPr>
            <w:tcW w:w="700" w:type="dxa"/>
            <w:tcMar>
              <w:top w:w="0" w:type="dxa"/>
              <w:bottom w:w="0" w:type="dxa"/>
            </w:tcMar>
            <w:vAlign w:val="center"/>
          </w:tcPr>
          <w:p w14:paraId="31532366" w14:textId="77777777" w:rsidR="00C26E05" w:rsidRDefault="00000000">
            <w:pPr>
              <w:keepNext/>
              <w:keepLines/>
              <w:spacing w:after="0" w:line="240" w:lineRule="auto"/>
              <w:jc w:val="right"/>
            </w:pPr>
            <w:r>
              <w:rPr>
                <w:sz w:val="18"/>
              </w:rPr>
              <w:t>139,1</w:t>
            </w:r>
          </w:p>
        </w:tc>
      </w:tr>
    </w:tbl>
    <w:p w14:paraId="5A65AE4B" w14:textId="77777777" w:rsidR="00C26E05" w:rsidRDefault="00C26E05">
      <w:pPr>
        <w:spacing w:after="0"/>
      </w:pPr>
    </w:p>
    <w:p w14:paraId="09DC4E96" w14:textId="77777777" w:rsidR="00C26E05" w:rsidRDefault="00000000">
      <w:r>
        <w:t>Ukupni prihodi poslovanja ostvareni su u iznosu od 894.160,41 eura, što je za 39,1% više od ostvarenja prethodne godine. Ovo povećanje temelji se na povećanju prihoda iz gradskih izvora za financiranje redovne djelatnosti, na povećanju vlastitih prihoda, na povećanju prihoda od pomoći iz drugih proračuna te na prihodima od EU projekata.</w:t>
      </w:r>
    </w:p>
    <w:p w14:paraId="63BF9413" w14:textId="77777777" w:rsidR="00C26E05" w:rsidRDefault="00C26E05"/>
    <w:p w14:paraId="47A096F6" w14:textId="77777777" w:rsidR="00C26E05"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6E05" w14:paraId="26B3D94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CC3115" w14:textId="77777777" w:rsidR="00C26E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283EB0B" w14:textId="77777777" w:rsidR="00C26E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DCB493" w14:textId="77777777" w:rsidR="00C26E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08525A" w14:textId="77777777" w:rsidR="00C26E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14C3691" w14:textId="77777777" w:rsidR="00C26E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D6136B" w14:textId="77777777" w:rsidR="00C26E05" w:rsidRDefault="00000000">
            <w:pPr>
              <w:keepNext/>
              <w:keepLines/>
              <w:spacing w:after="0" w:line="240" w:lineRule="auto"/>
              <w:jc w:val="center"/>
            </w:pPr>
            <w:r>
              <w:rPr>
                <w:b/>
                <w:sz w:val="18"/>
              </w:rPr>
              <w:t>Indeks (%)</w:t>
            </w:r>
          </w:p>
        </w:tc>
      </w:tr>
      <w:tr w:rsidR="00C26E05" w14:paraId="0F123AFA" w14:textId="77777777">
        <w:tblPrEx>
          <w:tblCellMar>
            <w:top w:w="0" w:type="dxa"/>
            <w:bottom w:w="0" w:type="dxa"/>
          </w:tblCellMar>
        </w:tblPrEx>
        <w:trPr>
          <w:cantSplit/>
          <w:trHeight w:val="560"/>
        </w:trPr>
        <w:tc>
          <w:tcPr>
            <w:tcW w:w="700" w:type="dxa"/>
            <w:tcMar>
              <w:top w:w="0" w:type="dxa"/>
              <w:bottom w:w="0" w:type="dxa"/>
            </w:tcMar>
            <w:vAlign w:val="center"/>
          </w:tcPr>
          <w:p w14:paraId="5CA40D5A" w14:textId="77777777" w:rsidR="00C26E05" w:rsidRDefault="00000000">
            <w:pPr>
              <w:keepNext/>
              <w:keepLines/>
              <w:spacing w:after="0" w:line="240" w:lineRule="auto"/>
            </w:pPr>
            <w:r>
              <w:rPr>
                <w:sz w:val="18"/>
              </w:rPr>
              <w:t>63</w:t>
            </w:r>
          </w:p>
        </w:tc>
        <w:tc>
          <w:tcPr>
            <w:tcW w:w="3180" w:type="dxa"/>
            <w:tcMar>
              <w:top w:w="0" w:type="dxa"/>
              <w:bottom w:w="0" w:type="dxa"/>
            </w:tcMar>
            <w:vAlign w:val="center"/>
          </w:tcPr>
          <w:p w14:paraId="1CA1203F" w14:textId="77777777" w:rsidR="00C26E05" w:rsidRDefault="00000000">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6C5ECF99" w14:textId="77777777" w:rsidR="00C26E05" w:rsidRDefault="00000000">
            <w:pPr>
              <w:keepNext/>
              <w:keepLines/>
              <w:spacing w:after="0" w:line="240" w:lineRule="auto"/>
            </w:pPr>
            <w:r>
              <w:rPr>
                <w:sz w:val="18"/>
              </w:rPr>
              <w:t>63</w:t>
            </w:r>
          </w:p>
        </w:tc>
        <w:tc>
          <w:tcPr>
            <w:tcW w:w="1860" w:type="dxa"/>
            <w:tcMar>
              <w:top w:w="0" w:type="dxa"/>
              <w:bottom w:w="0" w:type="dxa"/>
            </w:tcMar>
            <w:vAlign w:val="center"/>
          </w:tcPr>
          <w:p w14:paraId="0C4F2210" w14:textId="77777777" w:rsidR="00C26E05" w:rsidRDefault="00000000">
            <w:pPr>
              <w:keepNext/>
              <w:keepLines/>
              <w:spacing w:after="0" w:line="240" w:lineRule="auto"/>
              <w:jc w:val="right"/>
            </w:pPr>
            <w:r>
              <w:rPr>
                <w:sz w:val="18"/>
              </w:rPr>
              <w:t>20.910,00</w:t>
            </w:r>
          </w:p>
        </w:tc>
        <w:tc>
          <w:tcPr>
            <w:tcW w:w="1860" w:type="dxa"/>
            <w:tcMar>
              <w:top w:w="0" w:type="dxa"/>
              <w:bottom w:w="0" w:type="dxa"/>
            </w:tcMar>
            <w:vAlign w:val="center"/>
          </w:tcPr>
          <w:p w14:paraId="52DA6E7E" w14:textId="77777777" w:rsidR="00C26E05" w:rsidRDefault="00000000">
            <w:pPr>
              <w:keepNext/>
              <w:keepLines/>
              <w:spacing w:after="0" w:line="240" w:lineRule="auto"/>
              <w:jc w:val="right"/>
            </w:pPr>
            <w:r>
              <w:rPr>
                <w:sz w:val="18"/>
              </w:rPr>
              <w:t>50.825,58</w:t>
            </w:r>
          </w:p>
        </w:tc>
        <w:tc>
          <w:tcPr>
            <w:tcW w:w="700" w:type="dxa"/>
            <w:tcMar>
              <w:top w:w="0" w:type="dxa"/>
              <w:bottom w:w="0" w:type="dxa"/>
            </w:tcMar>
            <w:vAlign w:val="center"/>
          </w:tcPr>
          <w:p w14:paraId="20CDB7D5" w14:textId="77777777" w:rsidR="00C26E05" w:rsidRDefault="00000000">
            <w:pPr>
              <w:keepNext/>
              <w:keepLines/>
              <w:spacing w:after="0" w:line="240" w:lineRule="auto"/>
              <w:jc w:val="right"/>
            </w:pPr>
            <w:r>
              <w:rPr>
                <w:sz w:val="18"/>
              </w:rPr>
              <w:t>243,1</w:t>
            </w:r>
          </w:p>
        </w:tc>
      </w:tr>
    </w:tbl>
    <w:p w14:paraId="496D3F11" w14:textId="77777777" w:rsidR="00C26E05" w:rsidRDefault="00C26E05">
      <w:pPr>
        <w:spacing w:after="0"/>
      </w:pPr>
    </w:p>
    <w:p w14:paraId="7F195C7E" w14:textId="77777777" w:rsidR="00C26E05" w:rsidRDefault="00000000">
      <w:r>
        <w:t>Na povećanje ove stavke u iznosu od 143,1% u odnosu na prethodnu godinu, utjecali su prihodi od EU projekata kojih u 2024.godini nije bilo te povećanje prihoda od pomoći iz drugih proračuna (Ministarstvo kulture, Ministarstvo rada, Turistička zajednica grada Zagreba, Hrvatski audiovizualni centar)</w:t>
      </w:r>
    </w:p>
    <w:p w14:paraId="0AFE4E81" w14:textId="77777777" w:rsidR="00C26E05" w:rsidRDefault="00C26E05"/>
    <w:p w14:paraId="591660BC" w14:textId="77777777" w:rsidR="00C26E05"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6E05" w14:paraId="0C58611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89FD23" w14:textId="77777777" w:rsidR="00C26E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AC116AF" w14:textId="77777777" w:rsidR="00C26E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9011CA" w14:textId="77777777" w:rsidR="00C26E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074088" w14:textId="77777777" w:rsidR="00C26E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7438C8F" w14:textId="77777777" w:rsidR="00C26E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573F3AF" w14:textId="77777777" w:rsidR="00C26E05" w:rsidRDefault="00000000">
            <w:pPr>
              <w:keepNext/>
              <w:keepLines/>
              <w:spacing w:after="0" w:line="240" w:lineRule="auto"/>
              <w:jc w:val="center"/>
            </w:pPr>
            <w:r>
              <w:rPr>
                <w:b/>
                <w:sz w:val="18"/>
              </w:rPr>
              <w:t>Indeks (%)</w:t>
            </w:r>
          </w:p>
        </w:tc>
      </w:tr>
      <w:tr w:rsidR="00C26E05" w14:paraId="688977B8" w14:textId="77777777">
        <w:tblPrEx>
          <w:tblCellMar>
            <w:top w:w="0" w:type="dxa"/>
            <w:bottom w:w="0" w:type="dxa"/>
          </w:tblCellMar>
        </w:tblPrEx>
        <w:trPr>
          <w:cantSplit/>
          <w:trHeight w:val="560"/>
        </w:trPr>
        <w:tc>
          <w:tcPr>
            <w:tcW w:w="700" w:type="dxa"/>
            <w:tcMar>
              <w:top w:w="0" w:type="dxa"/>
              <w:bottom w:w="0" w:type="dxa"/>
            </w:tcMar>
            <w:vAlign w:val="center"/>
          </w:tcPr>
          <w:p w14:paraId="35913AAC" w14:textId="77777777" w:rsidR="00C26E05" w:rsidRDefault="00000000">
            <w:pPr>
              <w:keepNext/>
              <w:keepLines/>
              <w:spacing w:after="0" w:line="240" w:lineRule="auto"/>
            </w:pPr>
            <w:r>
              <w:rPr>
                <w:sz w:val="18"/>
              </w:rPr>
              <w:t>67</w:t>
            </w:r>
          </w:p>
        </w:tc>
        <w:tc>
          <w:tcPr>
            <w:tcW w:w="3180" w:type="dxa"/>
            <w:tcMar>
              <w:top w:w="0" w:type="dxa"/>
              <w:bottom w:w="0" w:type="dxa"/>
            </w:tcMar>
            <w:vAlign w:val="center"/>
          </w:tcPr>
          <w:p w14:paraId="1F849C5F" w14:textId="77777777" w:rsidR="00C26E05" w:rsidRDefault="00000000">
            <w:pPr>
              <w:keepNext/>
              <w:keepLines/>
              <w:spacing w:after="0" w:line="240" w:lineRule="auto"/>
            </w:pPr>
            <w:r>
              <w:rPr>
                <w:sz w:val="18"/>
              </w:rPr>
              <w:t>Prihodi iz nadležnog proračuna i od HZZO-a na temelju ugovornih obveza (šifre 671+673)</w:t>
            </w:r>
          </w:p>
        </w:tc>
        <w:tc>
          <w:tcPr>
            <w:tcW w:w="700" w:type="dxa"/>
            <w:tcMar>
              <w:top w:w="0" w:type="dxa"/>
              <w:bottom w:w="0" w:type="dxa"/>
            </w:tcMar>
            <w:vAlign w:val="center"/>
          </w:tcPr>
          <w:p w14:paraId="3D6FB1B8" w14:textId="77777777" w:rsidR="00C26E05" w:rsidRDefault="00000000">
            <w:pPr>
              <w:keepNext/>
              <w:keepLines/>
              <w:spacing w:after="0" w:line="240" w:lineRule="auto"/>
            </w:pPr>
            <w:r>
              <w:rPr>
                <w:sz w:val="18"/>
              </w:rPr>
              <w:t>67</w:t>
            </w:r>
          </w:p>
        </w:tc>
        <w:tc>
          <w:tcPr>
            <w:tcW w:w="1860" w:type="dxa"/>
            <w:tcMar>
              <w:top w:w="0" w:type="dxa"/>
              <w:bottom w:w="0" w:type="dxa"/>
            </w:tcMar>
            <w:vAlign w:val="center"/>
          </w:tcPr>
          <w:p w14:paraId="0101A515" w14:textId="77777777" w:rsidR="00C26E05" w:rsidRDefault="00000000">
            <w:pPr>
              <w:keepNext/>
              <w:keepLines/>
              <w:spacing w:after="0" w:line="240" w:lineRule="auto"/>
              <w:jc w:val="right"/>
            </w:pPr>
            <w:r>
              <w:rPr>
                <w:sz w:val="18"/>
              </w:rPr>
              <w:t>500.582,01</w:t>
            </w:r>
          </w:p>
        </w:tc>
        <w:tc>
          <w:tcPr>
            <w:tcW w:w="1860" w:type="dxa"/>
            <w:tcMar>
              <w:top w:w="0" w:type="dxa"/>
              <w:bottom w:w="0" w:type="dxa"/>
            </w:tcMar>
            <w:vAlign w:val="center"/>
          </w:tcPr>
          <w:p w14:paraId="3726C3D0" w14:textId="77777777" w:rsidR="00C26E05" w:rsidRDefault="00000000">
            <w:pPr>
              <w:keepNext/>
              <w:keepLines/>
              <w:spacing w:after="0" w:line="240" w:lineRule="auto"/>
              <w:jc w:val="right"/>
            </w:pPr>
            <w:r>
              <w:rPr>
                <w:sz w:val="18"/>
              </w:rPr>
              <w:t>709.687,24</w:t>
            </w:r>
          </w:p>
        </w:tc>
        <w:tc>
          <w:tcPr>
            <w:tcW w:w="700" w:type="dxa"/>
            <w:tcMar>
              <w:top w:w="0" w:type="dxa"/>
              <w:bottom w:w="0" w:type="dxa"/>
            </w:tcMar>
            <w:vAlign w:val="center"/>
          </w:tcPr>
          <w:p w14:paraId="6532CA58" w14:textId="77777777" w:rsidR="00C26E05" w:rsidRDefault="00000000">
            <w:pPr>
              <w:keepNext/>
              <w:keepLines/>
              <w:spacing w:after="0" w:line="240" w:lineRule="auto"/>
              <w:jc w:val="right"/>
            </w:pPr>
            <w:r>
              <w:rPr>
                <w:sz w:val="18"/>
              </w:rPr>
              <w:t>141,8</w:t>
            </w:r>
          </w:p>
        </w:tc>
      </w:tr>
    </w:tbl>
    <w:p w14:paraId="7CC2C14E" w14:textId="77777777" w:rsidR="00C26E05" w:rsidRDefault="00C26E05">
      <w:pPr>
        <w:spacing w:after="0"/>
      </w:pPr>
    </w:p>
    <w:p w14:paraId="567ECA04" w14:textId="77777777" w:rsidR="00C26E05" w:rsidRDefault="00000000">
      <w:r>
        <w:t>Povećanje prihoda iz nadležnog proračuna za financiranje redovne djelatnosti u iznosu od 41,8%, sukladno je povećanju rashoda za plaće zaposlenika te povećanju materijalnih rashoda.</w:t>
      </w:r>
    </w:p>
    <w:p w14:paraId="5918DEE2" w14:textId="77777777" w:rsidR="00C26E05" w:rsidRDefault="00C26E05"/>
    <w:p w14:paraId="2A2B5F5E" w14:textId="77777777" w:rsidR="00C26E05" w:rsidRDefault="00000000">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6E05" w14:paraId="5BE4DF3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F655C4" w14:textId="77777777" w:rsidR="00C26E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1451804" w14:textId="77777777" w:rsidR="00C26E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B74D2A" w14:textId="77777777" w:rsidR="00C26E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17F389" w14:textId="77777777" w:rsidR="00C26E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AE6C037" w14:textId="77777777" w:rsidR="00C26E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168C89B" w14:textId="77777777" w:rsidR="00C26E05" w:rsidRDefault="00000000">
            <w:pPr>
              <w:keepNext/>
              <w:keepLines/>
              <w:spacing w:after="0" w:line="240" w:lineRule="auto"/>
              <w:jc w:val="center"/>
            </w:pPr>
            <w:r>
              <w:rPr>
                <w:b/>
                <w:sz w:val="18"/>
              </w:rPr>
              <w:t>Indeks (%)</w:t>
            </w:r>
          </w:p>
        </w:tc>
      </w:tr>
      <w:tr w:rsidR="00C26E05" w14:paraId="63C4C54C" w14:textId="77777777">
        <w:tblPrEx>
          <w:tblCellMar>
            <w:top w:w="0" w:type="dxa"/>
            <w:bottom w:w="0" w:type="dxa"/>
          </w:tblCellMar>
        </w:tblPrEx>
        <w:trPr>
          <w:cantSplit/>
          <w:trHeight w:val="560"/>
        </w:trPr>
        <w:tc>
          <w:tcPr>
            <w:tcW w:w="700" w:type="dxa"/>
            <w:tcMar>
              <w:top w:w="0" w:type="dxa"/>
              <w:bottom w:w="0" w:type="dxa"/>
            </w:tcMar>
            <w:vAlign w:val="center"/>
          </w:tcPr>
          <w:p w14:paraId="76541306" w14:textId="77777777" w:rsidR="00C26E05" w:rsidRDefault="00000000">
            <w:pPr>
              <w:keepNext/>
              <w:keepLines/>
              <w:spacing w:after="0" w:line="240" w:lineRule="auto"/>
            </w:pPr>
            <w:r>
              <w:rPr>
                <w:sz w:val="18"/>
              </w:rPr>
              <w:t>3</w:t>
            </w:r>
          </w:p>
        </w:tc>
        <w:tc>
          <w:tcPr>
            <w:tcW w:w="3180" w:type="dxa"/>
            <w:tcMar>
              <w:top w:w="0" w:type="dxa"/>
              <w:bottom w:w="0" w:type="dxa"/>
            </w:tcMar>
            <w:vAlign w:val="center"/>
          </w:tcPr>
          <w:p w14:paraId="126AC96A" w14:textId="77777777" w:rsidR="00C26E05"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25BDA148" w14:textId="77777777" w:rsidR="00C26E05" w:rsidRDefault="00000000">
            <w:pPr>
              <w:keepNext/>
              <w:keepLines/>
              <w:spacing w:after="0" w:line="240" w:lineRule="auto"/>
            </w:pPr>
            <w:r>
              <w:rPr>
                <w:sz w:val="18"/>
              </w:rPr>
              <w:t>3</w:t>
            </w:r>
          </w:p>
        </w:tc>
        <w:tc>
          <w:tcPr>
            <w:tcW w:w="1860" w:type="dxa"/>
            <w:tcMar>
              <w:top w:w="0" w:type="dxa"/>
              <w:bottom w:w="0" w:type="dxa"/>
            </w:tcMar>
            <w:vAlign w:val="center"/>
          </w:tcPr>
          <w:p w14:paraId="76E0FC5A" w14:textId="77777777" w:rsidR="00C26E05" w:rsidRDefault="00000000">
            <w:pPr>
              <w:keepNext/>
              <w:keepLines/>
              <w:spacing w:after="0" w:line="240" w:lineRule="auto"/>
              <w:jc w:val="right"/>
            </w:pPr>
            <w:r>
              <w:rPr>
                <w:sz w:val="18"/>
              </w:rPr>
              <w:t>662.621,05</w:t>
            </w:r>
          </w:p>
        </w:tc>
        <w:tc>
          <w:tcPr>
            <w:tcW w:w="1860" w:type="dxa"/>
            <w:tcMar>
              <w:top w:w="0" w:type="dxa"/>
              <w:bottom w:w="0" w:type="dxa"/>
            </w:tcMar>
            <w:vAlign w:val="center"/>
          </w:tcPr>
          <w:p w14:paraId="303E078D" w14:textId="77777777" w:rsidR="00C26E05" w:rsidRDefault="00000000">
            <w:pPr>
              <w:keepNext/>
              <w:keepLines/>
              <w:spacing w:after="0" w:line="240" w:lineRule="auto"/>
              <w:jc w:val="right"/>
            </w:pPr>
            <w:r>
              <w:rPr>
                <w:sz w:val="18"/>
              </w:rPr>
              <w:t>867.723,45</w:t>
            </w:r>
          </w:p>
        </w:tc>
        <w:tc>
          <w:tcPr>
            <w:tcW w:w="700" w:type="dxa"/>
            <w:tcMar>
              <w:top w:w="0" w:type="dxa"/>
              <w:bottom w:w="0" w:type="dxa"/>
            </w:tcMar>
            <w:vAlign w:val="center"/>
          </w:tcPr>
          <w:p w14:paraId="56B473A1" w14:textId="77777777" w:rsidR="00C26E05" w:rsidRDefault="00000000">
            <w:pPr>
              <w:keepNext/>
              <w:keepLines/>
              <w:spacing w:after="0" w:line="240" w:lineRule="auto"/>
              <w:jc w:val="right"/>
            </w:pPr>
            <w:r>
              <w:rPr>
                <w:sz w:val="18"/>
              </w:rPr>
              <w:t>131,0</w:t>
            </w:r>
          </w:p>
        </w:tc>
      </w:tr>
    </w:tbl>
    <w:p w14:paraId="0ED1DE56" w14:textId="77777777" w:rsidR="00C26E05" w:rsidRDefault="00C26E05">
      <w:pPr>
        <w:spacing w:after="0"/>
      </w:pPr>
    </w:p>
    <w:p w14:paraId="244B4809" w14:textId="77777777" w:rsidR="00C26E05" w:rsidRDefault="00000000">
      <w:r>
        <w:t>Ukupni rashodi poslovanja ostvareni su u iznosu od 867.723,45 eura, što je za 31 % više od ostvarenja prethodne godine. Ovo povećanje temelji se na povećanju rashoda za zaposlene te na povećanju materijalnih rashoda.</w:t>
      </w:r>
    </w:p>
    <w:p w14:paraId="77173CFC" w14:textId="77777777" w:rsidR="00C26E05" w:rsidRDefault="00C26E05"/>
    <w:p w14:paraId="518B86D5" w14:textId="77777777" w:rsidR="00C26E05"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6E05" w14:paraId="64B7850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0C079CF" w14:textId="77777777" w:rsidR="00C26E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30DF1A3" w14:textId="77777777" w:rsidR="00C26E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FBC25E" w14:textId="77777777" w:rsidR="00C26E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5C8D48" w14:textId="77777777" w:rsidR="00C26E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A4C3AC" w14:textId="77777777" w:rsidR="00C26E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5F36006" w14:textId="77777777" w:rsidR="00C26E05" w:rsidRDefault="00000000">
            <w:pPr>
              <w:keepNext/>
              <w:keepLines/>
              <w:spacing w:after="0" w:line="240" w:lineRule="auto"/>
              <w:jc w:val="center"/>
            </w:pPr>
            <w:r>
              <w:rPr>
                <w:b/>
                <w:sz w:val="18"/>
              </w:rPr>
              <w:t>Indeks (%)</w:t>
            </w:r>
          </w:p>
        </w:tc>
      </w:tr>
      <w:tr w:rsidR="00C26E05" w14:paraId="34BCFE97" w14:textId="77777777">
        <w:tblPrEx>
          <w:tblCellMar>
            <w:top w:w="0" w:type="dxa"/>
            <w:bottom w:w="0" w:type="dxa"/>
          </w:tblCellMar>
        </w:tblPrEx>
        <w:trPr>
          <w:cantSplit/>
          <w:trHeight w:val="560"/>
        </w:trPr>
        <w:tc>
          <w:tcPr>
            <w:tcW w:w="700" w:type="dxa"/>
            <w:tcMar>
              <w:top w:w="0" w:type="dxa"/>
              <w:bottom w:w="0" w:type="dxa"/>
            </w:tcMar>
            <w:vAlign w:val="center"/>
          </w:tcPr>
          <w:p w14:paraId="6F77F709" w14:textId="77777777" w:rsidR="00C26E05" w:rsidRDefault="00000000">
            <w:pPr>
              <w:keepNext/>
              <w:keepLines/>
              <w:spacing w:after="0" w:line="240" w:lineRule="auto"/>
            </w:pPr>
            <w:r>
              <w:rPr>
                <w:sz w:val="18"/>
              </w:rPr>
              <w:t>31</w:t>
            </w:r>
          </w:p>
        </w:tc>
        <w:tc>
          <w:tcPr>
            <w:tcW w:w="3180" w:type="dxa"/>
            <w:tcMar>
              <w:top w:w="0" w:type="dxa"/>
              <w:bottom w:w="0" w:type="dxa"/>
            </w:tcMar>
            <w:vAlign w:val="center"/>
          </w:tcPr>
          <w:p w14:paraId="684D1572" w14:textId="77777777" w:rsidR="00C26E05"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703C95F2" w14:textId="77777777" w:rsidR="00C26E05" w:rsidRDefault="00000000">
            <w:pPr>
              <w:keepNext/>
              <w:keepLines/>
              <w:spacing w:after="0" w:line="240" w:lineRule="auto"/>
            </w:pPr>
            <w:r>
              <w:rPr>
                <w:sz w:val="18"/>
              </w:rPr>
              <w:t>31</w:t>
            </w:r>
          </w:p>
        </w:tc>
        <w:tc>
          <w:tcPr>
            <w:tcW w:w="1860" w:type="dxa"/>
            <w:tcMar>
              <w:top w:w="0" w:type="dxa"/>
              <w:bottom w:w="0" w:type="dxa"/>
            </w:tcMar>
            <w:vAlign w:val="center"/>
          </w:tcPr>
          <w:p w14:paraId="5F515574" w14:textId="77777777" w:rsidR="00C26E05" w:rsidRDefault="00000000">
            <w:pPr>
              <w:keepNext/>
              <w:keepLines/>
              <w:spacing w:after="0" w:line="240" w:lineRule="auto"/>
              <w:jc w:val="right"/>
            </w:pPr>
            <w:r>
              <w:rPr>
                <w:sz w:val="18"/>
              </w:rPr>
              <w:t>422.505,01</w:t>
            </w:r>
          </w:p>
        </w:tc>
        <w:tc>
          <w:tcPr>
            <w:tcW w:w="1860" w:type="dxa"/>
            <w:tcMar>
              <w:top w:w="0" w:type="dxa"/>
              <w:bottom w:w="0" w:type="dxa"/>
            </w:tcMar>
            <w:vAlign w:val="center"/>
          </w:tcPr>
          <w:p w14:paraId="4E483CC0" w14:textId="77777777" w:rsidR="00C26E05" w:rsidRDefault="00000000">
            <w:pPr>
              <w:keepNext/>
              <w:keepLines/>
              <w:spacing w:after="0" w:line="240" w:lineRule="auto"/>
              <w:jc w:val="right"/>
            </w:pPr>
            <w:r>
              <w:rPr>
                <w:sz w:val="18"/>
              </w:rPr>
              <w:t>574.975,74</w:t>
            </w:r>
          </w:p>
        </w:tc>
        <w:tc>
          <w:tcPr>
            <w:tcW w:w="700" w:type="dxa"/>
            <w:tcMar>
              <w:top w:w="0" w:type="dxa"/>
              <w:bottom w:w="0" w:type="dxa"/>
            </w:tcMar>
            <w:vAlign w:val="center"/>
          </w:tcPr>
          <w:p w14:paraId="444F6405" w14:textId="77777777" w:rsidR="00C26E05" w:rsidRDefault="00000000">
            <w:pPr>
              <w:keepNext/>
              <w:keepLines/>
              <w:spacing w:after="0" w:line="240" w:lineRule="auto"/>
              <w:jc w:val="right"/>
            </w:pPr>
            <w:r>
              <w:rPr>
                <w:sz w:val="18"/>
              </w:rPr>
              <w:t>136,1</w:t>
            </w:r>
          </w:p>
        </w:tc>
      </w:tr>
    </w:tbl>
    <w:p w14:paraId="517FBA7A" w14:textId="77777777" w:rsidR="00C26E05" w:rsidRDefault="00C26E05">
      <w:pPr>
        <w:spacing w:after="0"/>
      </w:pPr>
    </w:p>
    <w:p w14:paraId="2C21A912" w14:textId="77777777" w:rsidR="00C26E05" w:rsidRDefault="00000000">
      <w:r>
        <w:t>Do povećanja rashoda za zaposlene u iznosu od 36,1 % došlo je zbog povećanja osnovice za plaću od 01.mj. 2025. godine sukladno V. dodatku kolektivnog ugovora te zbog zapošljavanja novih djelatnika.</w:t>
      </w:r>
    </w:p>
    <w:p w14:paraId="225FEDB5" w14:textId="77777777" w:rsidR="00C26E05" w:rsidRDefault="00C26E05"/>
    <w:p w14:paraId="552F0E3F" w14:textId="77777777" w:rsidR="00C26E05"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6E05" w14:paraId="6E45B81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9426A65" w14:textId="77777777" w:rsidR="00C26E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3F8608F" w14:textId="77777777" w:rsidR="00C26E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9D2CCE" w14:textId="77777777" w:rsidR="00C26E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CCD963" w14:textId="77777777" w:rsidR="00C26E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FBCA33A" w14:textId="77777777" w:rsidR="00C26E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CEB014" w14:textId="77777777" w:rsidR="00C26E05" w:rsidRDefault="00000000">
            <w:pPr>
              <w:keepNext/>
              <w:keepLines/>
              <w:spacing w:after="0" w:line="240" w:lineRule="auto"/>
              <w:jc w:val="center"/>
            </w:pPr>
            <w:r>
              <w:rPr>
                <w:b/>
                <w:sz w:val="18"/>
              </w:rPr>
              <w:t>Indeks (%)</w:t>
            </w:r>
          </w:p>
        </w:tc>
      </w:tr>
      <w:tr w:rsidR="00C26E05" w14:paraId="08B905FD" w14:textId="77777777">
        <w:tblPrEx>
          <w:tblCellMar>
            <w:top w:w="0" w:type="dxa"/>
            <w:bottom w:w="0" w:type="dxa"/>
          </w:tblCellMar>
        </w:tblPrEx>
        <w:trPr>
          <w:cantSplit/>
          <w:trHeight w:val="560"/>
        </w:trPr>
        <w:tc>
          <w:tcPr>
            <w:tcW w:w="700" w:type="dxa"/>
            <w:tcMar>
              <w:top w:w="0" w:type="dxa"/>
              <w:bottom w:w="0" w:type="dxa"/>
            </w:tcMar>
            <w:vAlign w:val="center"/>
          </w:tcPr>
          <w:p w14:paraId="03B45FD7" w14:textId="77777777" w:rsidR="00C26E05" w:rsidRDefault="00000000">
            <w:pPr>
              <w:keepNext/>
              <w:keepLines/>
              <w:spacing w:after="0" w:line="240" w:lineRule="auto"/>
            </w:pPr>
            <w:r>
              <w:rPr>
                <w:sz w:val="18"/>
              </w:rPr>
              <w:t>32</w:t>
            </w:r>
          </w:p>
        </w:tc>
        <w:tc>
          <w:tcPr>
            <w:tcW w:w="3180" w:type="dxa"/>
            <w:tcMar>
              <w:top w:w="0" w:type="dxa"/>
              <w:bottom w:w="0" w:type="dxa"/>
            </w:tcMar>
            <w:vAlign w:val="center"/>
          </w:tcPr>
          <w:p w14:paraId="39CD7CF8" w14:textId="77777777" w:rsidR="00C26E05" w:rsidRDefault="00000000">
            <w:pPr>
              <w:keepNext/>
              <w:keepLines/>
              <w:spacing w:after="0" w:line="240" w:lineRule="auto"/>
            </w:pPr>
            <w:r>
              <w:rPr>
                <w:sz w:val="18"/>
              </w:rPr>
              <w:t>Materijalni rashodi (šifre 321+322+323+324+325+329)</w:t>
            </w:r>
          </w:p>
        </w:tc>
        <w:tc>
          <w:tcPr>
            <w:tcW w:w="700" w:type="dxa"/>
            <w:tcMar>
              <w:top w:w="0" w:type="dxa"/>
              <w:bottom w:w="0" w:type="dxa"/>
            </w:tcMar>
            <w:vAlign w:val="center"/>
          </w:tcPr>
          <w:p w14:paraId="1B4002F9" w14:textId="77777777" w:rsidR="00C26E05" w:rsidRDefault="00000000">
            <w:pPr>
              <w:keepNext/>
              <w:keepLines/>
              <w:spacing w:after="0" w:line="240" w:lineRule="auto"/>
            </w:pPr>
            <w:r>
              <w:rPr>
                <w:sz w:val="18"/>
              </w:rPr>
              <w:t>32</w:t>
            </w:r>
          </w:p>
        </w:tc>
        <w:tc>
          <w:tcPr>
            <w:tcW w:w="1860" w:type="dxa"/>
            <w:tcMar>
              <w:top w:w="0" w:type="dxa"/>
              <w:bottom w:w="0" w:type="dxa"/>
            </w:tcMar>
            <w:vAlign w:val="center"/>
          </w:tcPr>
          <w:p w14:paraId="01BECBE0" w14:textId="77777777" w:rsidR="00C26E05" w:rsidRDefault="00000000">
            <w:pPr>
              <w:keepNext/>
              <w:keepLines/>
              <w:spacing w:after="0" w:line="240" w:lineRule="auto"/>
              <w:jc w:val="right"/>
            </w:pPr>
            <w:r>
              <w:rPr>
                <w:sz w:val="18"/>
              </w:rPr>
              <w:t>238.813,49</w:t>
            </w:r>
          </w:p>
        </w:tc>
        <w:tc>
          <w:tcPr>
            <w:tcW w:w="1860" w:type="dxa"/>
            <w:tcMar>
              <w:top w:w="0" w:type="dxa"/>
              <w:bottom w:w="0" w:type="dxa"/>
            </w:tcMar>
            <w:vAlign w:val="center"/>
          </w:tcPr>
          <w:p w14:paraId="0F9FF372" w14:textId="77777777" w:rsidR="00C26E05" w:rsidRDefault="00000000">
            <w:pPr>
              <w:keepNext/>
              <w:keepLines/>
              <w:spacing w:after="0" w:line="240" w:lineRule="auto"/>
              <w:jc w:val="right"/>
            </w:pPr>
            <w:r>
              <w:rPr>
                <w:sz w:val="18"/>
              </w:rPr>
              <w:t>291.462,63</w:t>
            </w:r>
          </w:p>
        </w:tc>
        <w:tc>
          <w:tcPr>
            <w:tcW w:w="700" w:type="dxa"/>
            <w:tcMar>
              <w:top w:w="0" w:type="dxa"/>
              <w:bottom w:w="0" w:type="dxa"/>
            </w:tcMar>
            <w:vAlign w:val="center"/>
          </w:tcPr>
          <w:p w14:paraId="064B1032" w14:textId="77777777" w:rsidR="00C26E05" w:rsidRDefault="00000000">
            <w:pPr>
              <w:keepNext/>
              <w:keepLines/>
              <w:spacing w:after="0" w:line="240" w:lineRule="auto"/>
              <w:jc w:val="right"/>
            </w:pPr>
            <w:r>
              <w:rPr>
                <w:sz w:val="18"/>
              </w:rPr>
              <w:t>122,0</w:t>
            </w:r>
          </w:p>
        </w:tc>
      </w:tr>
    </w:tbl>
    <w:p w14:paraId="3D277AC0" w14:textId="77777777" w:rsidR="00C26E05" w:rsidRDefault="00C26E05">
      <w:pPr>
        <w:spacing w:after="0"/>
      </w:pPr>
    </w:p>
    <w:p w14:paraId="2E9CE84D" w14:textId="77777777" w:rsidR="00C26E05" w:rsidRDefault="00000000">
      <w:r>
        <w:t>Do povećanja materijalnih rashoda u iznosu od 22% došlo je zbog općeg povećanja cijena tj. inflacije, zbog rashoda vezanih uz dodatne programe u suradnji s mjesnim odborom te zbog rashoda vezanih uz službena putovanja i ostale potrebe EU projekta.</w:t>
      </w:r>
    </w:p>
    <w:p w14:paraId="54888F90" w14:textId="77777777" w:rsidR="00C26E05" w:rsidRDefault="00C26E05"/>
    <w:p w14:paraId="15F86CFE" w14:textId="77777777" w:rsidR="00C26E05"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6E05" w14:paraId="7A1B9FB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7A1267" w14:textId="77777777" w:rsidR="00C26E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420FA38" w14:textId="77777777" w:rsidR="00C26E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2C1979" w14:textId="77777777" w:rsidR="00C26E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DA1CB5" w14:textId="77777777" w:rsidR="00C26E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88C3F38" w14:textId="77777777" w:rsidR="00C26E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621DBD" w14:textId="77777777" w:rsidR="00C26E05" w:rsidRDefault="00000000">
            <w:pPr>
              <w:keepNext/>
              <w:keepLines/>
              <w:spacing w:after="0" w:line="240" w:lineRule="auto"/>
              <w:jc w:val="center"/>
            </w:pPr>
            <w:r>
              <w:rPr>
                <w:b/>
                <w:sz w:val="18"/>
              </w:rPr>
              <w:t>Indeks (%)</w:t>
            </w:r>
          </w:p>
        </w:tc>
      </w:tr>
      <w:tr w:rsidR="00C26E05" w14:paraId="20CD4331" w14:textId="77777777">
        <w:tblPrEx>
          <w:tblCellMar>
            <w:top w:w="0" w:type="dxa"/>
            <w:bottom w:w="0" w:type="dxa"/>
          </w:tblCellMar>
        </w:tblPrEx>
        <w:trPr>
          <w:cantSplit/>
          <w:trHeight w:val="560"/>
        </w:trPr>
        <w:tc>
          <w:tcPr>
            <w:tcW w:w="700" w:type="dxa"/>
            <w:tcMar>
              <w:top w:w="0" w:type="dxa"/>
              <w:bottom w:w="0" w:type="dxa"/>
            </w:tcMar>
            <w:vAlign w:val="center"/>
          </w:tcPr>
          <w:p w14:paraId="10CA46CF" w14:textId="77777777" w:rsidR="00C26E05" w:rsidRDefault="00000000">
            <w:pPr>
              <w:keepNext/>
              <w:keepLines/>
              <w:spacing w:after="0" w:line="240" w:lineRule="auto"/>
            </w:pPr>
            <w:r>
              <w:rPr>
                <w:sz w:val="18"/>
              </w:rPr>
              <w:t>11-dugov.</w:t>
            </w:r>
          </w:p>
        </w:tc>
        <w:tc>
          <w:tcPr>
            <w:tcW w:w="3180" w:type="dxa"/>
            <w:tcMar>
              <w:top w:w="0" w:type="dxa"/>
              <w:bottom w:w="0" w:type="dxa"/>
            </w:tcMar>
            <w:vAlign w:val="center"/>
          </w:tcPr>
          <w:p w14:paraId="3B0B3044" w14:textId="77777777" w:rsidR="00C26E05" w:rsidRDefault="00000000">
            <w:pPr>
              <w:keepNext/>
              <w:keepLines/>
              <w:spacing w:after="0" w:line="240" w:lineRule="auto"/>
            </w:pPr>
            <w:r>
              <w:rPr>
                <w:sz w:val="18"/>
              </w:rPr>
              <w:t>Ukupni priljevi na novčane račune i blagajne</w:t>
            </w:r>
          </w:p>
        </w:tc>
        <w:tc>
          <w:tcPr>
            <w:tcW w:w="700" w:type="dxa"/>
            <w:tcMar>
              <w:top w:w="0" w:type="dxa"/>
              <w:bottom w:w="0" w:type="dxa"/>
            </w:tcMar>
            <w:vAlign w:val="center"/>
          </w:tcPr>
          <w:p w14:paraId="37477BF7" w14:textId="77777777" w:rsidR="00C26E05" w:rsidRDefault="00000000">
            <w:pPr>
              <w:keepNext/>
              <w:keepLines/>
              <w:spacing w:after="0" w:line="240" w:lineRule="auto"/>
            </w:pPr>
            <w:r>
              <w:rPr>
                <w:sz w:val="18"/>
              </w:rPr>
              <w:t>11-dugov.</w:t>
            </w:r>
          </w:p>
        </w:tc>
        <w:tc>
          <w:tcPr>
            <w:tcW w:w="1860" w:type="dxa"/>
            <w:tcMar>
              <w:top w:w="0" w:type="dxa"/>
              <w:bottom w:w="0" w:type="dxa"/>
            </w:tcMar>
            <w:vAlign w:val="center"/>
          </w:tcPr>
          <w:p w14:paraId="4C6B95B6" w14:textId="77777777" w:rsidR="00C26E05" w:rsidRDefault="00000000">
            <w:pPr>
              <w:keepNext/>
              <w:keepLines/>
              <w:spacing w:after="0" w:line="240" w:lineRule="auto"/>
              <w:jc w:val="right"/>
            </w:pPr>
            <w:r>
              <w:rPr>
                <w:sz w:val="18"/>
              </w:rPr>
              <w:t>667.039,37</w:t>
            </w:r>
          </w:p>
        </w:tc>
        <w:tc>
          <w:tcPr>
            <w:tcW w:w="1860" w:type="dxa"/>
            <w:tcMar>
              <w:top w:w="0" w:type="dxa"/>
              <w:bottom w:w="0" w:type="dxa"/>
            </w:tcMar>
            <w:vAlign w:val="center"/>
          </w:tcPr>
          <w:p w14:paraId="565B3EEF" w14:textId="77777777" w:rsidR="00C26E05" w:rsidRDefault="00000000">
            <w:pPr>
              <w:keepNext/>
              <w:keepLines/>
              <w:spacing w:after="0" w:line="240" w:lineRule="auto"/>
              <w:jc w:val="right"/>
            </w:pPr>
            <w:r>
              <w:rPr>
                <w:sz w:val="18"/>
              </w:rPr>
              <w:t>893.165,25</w:t>
            </w:r>
          </w:p>
        </w:tc>
        <w:tc>
          <w:tcPr>
            <w:tcW w:w="700" w:type="dxa"/>
            <w:tcMar>
              <w:top w:w="0" w:type="dxa"/>
              <w:bottom w:w="0" w:type="dxa"/>
            </w:tcMar>
            <w:vAlign w:val="center"/>
          </w:tcPr>
          <w:p w14:paraId="058A2C2C" w14:textId="77777777" w:rsidR="00C26E05" w:rsidRDefault="00000000">
            <w:pPr>
              <w:keepNext/>
              <w:keepLines/>
              <w:spacing w:after="0" w:line="240" w:lineRule="auto"/>
              <w:jc w:val="right"/>
            </w:pPr>
            <w:r>
              <w:rPr>
                <w:sz w:val="18"/>
              </w:rPr>
              <w:t>133,9</w:t>
            </w:r>
          </w:p>
        </w:tc>
      </w:tr>
    </w:tbl>
    <w:p w14:paraId="7D9772E8" w14:textId="77777777" w:rsidR="00C26E05" w:rsidRDefault="00C26E05">
      <w:pPr>
        <w:spacing w:after="0"/>
      </w:pPr>
    </w:p>
    <w:p w14:paraId="362032C1" w14:textId="77777777" w:rsidR="00C26E05" w:rsidRDefault="00000000">
      <w:r>
        <w:t>Ukupni priljevi na novčane račune veći su za 33,9% u odnosu na prethodnu godinu, sukladno ukupnom povećanju prihoda.</w:t>
      </w:r>
    </w:p>
    <w:p w14:paraId="0C47F55A" w14:textId="77777777" w:rsidR="00C26E05" w:rsidRDefault="00C26E05"/>
    <w:p w14:paraId="3F9C2C00" w14:textId="77777777" w:rsidR="00C26E05"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26E05" w14:paraId="2BB60E3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50DF94" w14:textId="77777777" w:rsidR="00C26E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A9E19F6" w14:textId="77777777" w:rsidR="00C26E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56F378" w14:textId="77777777" w:rsidR="00C26E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C71B28" w14:textId="77777777" w:rsidR="00C26E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969C233" w14:textId="77777777" w:rsidR="00C26E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94BCAF6" w14:textId="77777777" w:rsidR="00C26E05" w:rsidRDefault="00000000">
            <w:pPr>
              <w:keepNext/>
              <w:keepLines/>
              <w:spacing w:after="0" w:line="240" w:lineRule="auto"/>
              <w:jc w:val="center"/>
            </w:pPr>
            <w:r>
              <w:rPr>
                <w:b/>
                <w:sz w:val="18"/>
              </w:rPr>
              <w:t>Indeks (%)</w:t>
            </w:r>
          </w:p>
        </w:tc>
      </w:tr>
      <w:tr w:rsidR="00C26E05" w14:paraId="13B13C0D" w14:textId="77777777">
        <w:tblPrEx>
          <w:tblCellMar>
            <w:top w:w="0" w:type="dxa"/>
            <w:bottom w:w="0" w:type="dxa"/>
          </w:tblCellMar>
        </w:tblPrEx>
        <w:trPr>
          <w:cantSplit/>
          <w:trHeight w:val="560"/>
        </w:trPr>
        <w:tc>
          <w:tcPr>
            <w:tcW w:w="700" w:type="dxa"/>
            <w:tcMar>
              <w:top w:w="0" w:type="dxa"/>
              <w:bottom w:w="0" w:type="dxa"/>
            </w:tcMar>
            <w:vAlign w:val="center"/>
          </w:tcPr>
          <w:p w14:paraId="024B4AF1" w14:textId="77777777" w:rsidR="00C26E05" w:rsidRDefault="00000000">
            <w:pPr>
              <w:keepNext/>
              <w:keepLines/>
              <w:spacing w:after="0" w:line="240" w:lineRule="auto"/>
            </w:pPr>
            <w:r>
              <w:rPr>
                <w:sz w:val="18"/>
              </w:rPr>
              <w:t>11-potraž.</w:t>
            </w:r>
          </w:p>
        </w:tc>
        <w:tc>
          <w:tcPr>
            <w:tcW w:w="3180" w:type="dxa"/>
            <w:tcMar>
              <w:top w:w="0" w:type="dxa"/>
              <w:bottom w:w="0" w:type="dxa"/>
            </w:tcMar>
            <w:vAlign w:val="center"/>
          </w:tcPr>
          <w:p w14:paraId="1D86AA90" w14:textId="77777777" w:rsidR="00C26E05" w:rsidRDefault="00000000">
            <w:pPr>
              <w:keepNext/>
              <w:keepLines/>
              <w:spacing w:after="0" w:line="240" w:lineRule="auto"/>
            </w:pPr>
            <w:r>
              <w:rPr>
                <w:sz w:val="18"/>
              </w:rPr>
              <w:t>Ukupni odljevi s novčanih računa i blagajni</w:t>
            </w:r>
          </w:p>
        </w:tc>
        <w:tc>
          <w:tcPr>
            <w:tcW w:w="700" w:type="dxa"/>
            <w:tcMar>
              <w:top w:w="0" w:type="dxa"/>
              <w:bottom w:w="0" w:type="dxa"/>
            </w:tcMar>
            <w:vAlign w:val="center"/>
          </w:tcPr>
          <w:p w14:paraId="524A13D5" w14:textId="77777777" w:rsidR="00C26E05" w:rsidRDefault="00000000">
            <w:pPr>
              <w:keepNext/>
              <w:keepLines/>
              <w:spacing w:after="0" w:line="240" w:lineRule="auto"/>
            </w:pPr>
            <w:r>
              <w:rPr>
                <w:sz w:val="18"/>
              </w:rPr>
              <w:t>11-potraž.</w:t>
            </w:r>
          </w:p>
        </w:tc>
        <w:tc>
          <w:tcPr>
            <w:tcW w:w="1860" w:type="dxa"/>
            <w:tcMar>
              <w:top w:w="0" w:type="dxa"/>
              <w:bottom w:w="0" w:type="dxa"/>
            </w:tcMar>
            <w:vAlign w:val="center"/>
          </w:tcPr>
          <w:p w14:paraId="7EE7A1B9" w14:textId="77777777" w:rsidR="00C26E05" w:rsidRDefault="00000000">
            <w:pPr>
              <w:keepNext/>
              <w:keepLines/>
              <w:spacing w:after="0" w:line="240" w:lineRule="auto"/>
              <w:jc w:val="right"/>
            </w:pPr>
            <w:r>
              <w:rPr>
                <w:sz w:val="18"/>
              </w:rPr>
              <w:t>674.064,36</w:t>
            </w:r>
          </w:p>
        </w:tc>
        <w:tc>
          <w:tcPr>
            <w:tcW w:w="1860" w:type="dxa"/>
            <w:tcMar>
              <w:top w:w="0" w:type="dxa"/>
              <w:bottom w:w="0" w:type="dxa"/>
            </w:tcMar>
            <w:vAlign w:val="center"/>
          </w:tcPr>
          <w:p w14:paraId="17344420" w14:textId="77777777" w:rsidR="00C26E05" w:rsidRDefault="00000000">
            <w:pPr>
              <w:keepNext/>
              <w:keepLines/>
              <w:spacing w:after="0" w:line="240" w:lineRule="auto"/>
              <w:jc w:val="right"/>
            </w:pPr>
            <w:r>
              <w:rPr>
                <w:sz w:val="18"/>
              </w:rPr>
              <w:t>881.724,86</w:t>
            </w:r>
          </w:p>
        </w:tc>
        <w:tc>
          <w:tcPr>
            <w:tcW w:w="700" w:type="dxa"/>
            <w:tcMar>
              <w:top w:w="0" w:type="dxa"/>
              <w:bottom w:w="0" w:type="dxa"/>
            </w:tcMar>
            <w:vAlign w:val="center"/>
          </w:tcPr>
          <w:p w14:paraId="4B26344D" w14:textId="77777777" w:rsidR="00C26E05" w:rsidRDefault="00000000">
            <w:pPr>
              <w:keepNext/>
              <w:keepLines/>
              <w:spacing w:after="0" w:line="240" w:lineRule="auto"/>
              <w:jc w:val="right"/>
            </w:pPr>
            <w:r>
              <w:rPr>
                <w:sz w:val="18"/>
              </w:rPr>
              <w:t>130,8</w:t>
            </w:r>
          </w:p>
        </w:tc>
      </w:tr>
    </w:tbl>
    <w:p w14:paraId="11597C8B" w14:textId="77777777" w:rsidR="00C26E05" w:rsidRDefault="00C26E05">
      <w:pPr>
        <w:spacing w:after="0"/>
      </w:pPr>
    </w:p>
    <w:p w14:paraId="310B8E5A" w14:textId="77777777" w:rsidR="00C26E05" w:rsidRDefault="00000000">
      <w:r>
        <w:t>Ukupni odljevi s novčanih računa i blagajni, veći su za 30,8% u odnosu na isto razdoblje prethodne godine, sukladno povećanju rashoda.</w:t>
      </w:r>
    </w:p>
    <w:p w14:paraId="2360F2D5" w14:textId="77777777" w:rsidR="00C26E05" w:rsidRDefault="00C26E05"/>
    <w:p w14:paraId="59508A94" w14:textId="77777777" w:rsidR="00C26E05" w:rsidRDefault="00000000">
      <w:pPr>
        <w:keepNext/>
        <w:spacing w:line="240" w:lineRule="auto"/>
        <w:jc w:val="center"/>
      </w:pPr>
      <w:r>
        <w:rPr>
          <w:b/>
          <w:sz w:val="28"/>
        </w:rPr>
        <w:t>Izvještaj o obvezama</w:t>
      </w:r>
    </w:p>
    <w:p w14:paraId="01E12843" w14:textId="77777777" w:rsidR="00C26E05"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26E05" w14:paraId="3B33B3D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5D2334F" w14:textId="77777777" w:rsidR="00C26E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C07348B" w14:textId="77777777" w:rsidR="00C26E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7796FC" w14:textId="77777777" w:rsidR="00C26E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E7F6E5" w14:textId="77777777" w:rsidR="00C26E05"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EF7959E" w14:textId="77777777" w:rsidR="00C26E05" w:rsidRDefault="00000000">
            <w:pPr>
              <w:keepNext/>
              <w:keepLines/>
              <w:spacing w:after="0" w:line="240" w:lineRule="auto"/>
              <w:jc w:val="center"/>
            </w:pPr>
            <w:r>
              <w:rPr>
                <w:b/>
                <w:sz w:val="18"/>
              </w:rPr>
              <w:t>Indeks (%)</w:t>
            </w:r>
          </w:p>
        </w:tc>
      </w:tr>
      <w:tr w:rsidR="00C26E05" w14:paraId="6417C808" w14:textId="77777777">
        <w:tblPrEx>
          <w:tblCellMar>
            <w:top w:w="0" w:type="dxa"/>
            <w:bottom w:w="0" w:type="dxa"/>
          </w:tblCellMar>
        </w:tblPrEx>
        <w:trPr>
          <w:cantSplit/>
          <w:trHeight w:val="560"/>
        </w:trPr>
        <w:tc>
          <w:tcPr>
            <w:tcW w:w="700" w:type="dxa"/>
            <w:tcMar>
              <w:top w:w="0" w:type="dxa"/>
              <w:bottom w:w="0" w:type="dxa"/>
            </w:tcMar>
            <w:vAlign w:val="center"/>
          </w:tcPr>
          <w:p w14:paraId="498789C9" w14:textId="77777777" w:rsidR="00C26E05" w:rsidRDefault="00C26E05">
            <w:pPr>
              <w:keepNext/>
              <w:keepLines/>
              <w:spacing w:after="0" w:line="240" w:lineRule="auto"/>
            </w:pPr>
          </w:p>
        </w:tc>
        <w:tc>
          <w:tcPr>
            <w:tcW w:w="3180" w:type="dxa"/>
            <w:tcMar>
              <w:top w:w="0" w:type="dxa"/>
              <w:bottom w:w="0" w:type="dxa"/>
            </w:tcMar>
            <w:vAlign w:val="center"/>
          </w:tcPr>
          <w:p w14:paraId="6FBDCAD2" w14:textId="77777777" w:rsidR="00C26E05"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5F1ABC38" w14:textId="77777777" w:rsidR="00C26E05" w:rsidRDefault="00000000">
            <w:pPr>
              <w:keepNext/>
              <w:keepLines/>
              <w:spacing w:after="0" w:line="240" w:lineRule="auto"/>
            </w:pPr>
            <w:r>
              <w:rPr>
                <w:sz w:val="18"/>
              </w:rPr>
              <w:t>V007</w:t>
            </w:r>
          </w:p>
        </w:tc>
        <w:tc>
          <w:tcPr>
            <w:tcW w:w="1860" w:type="dxa"/>
            <w:tcMar>
              <w:top w:w="0" w:type="dxa"/>
              <w:bottom w:w="0" w:type="dxa"/>
            </w:tcMar>
            <w:vAlign w:val="center"/>
          </w:tcPr>
          <w:p w14:paraId="1FB399C5" w14:textId="77777777" w:rsidR="00C26E05" w:rsidRDefault="00000000">
            <w:pPr>
              <w:keepNext/>
              <w:keepLines/>
              <w:spacing w:after="0" w:line="240" w:lineRule="auto"/>
              <w:jc w:val="right"/>
            </w:pPr>
            <w:r>
              <w:rPr>
                <w:sz w:val="18"/>
              </w:rPr>
              <w:t>1.471,02</w:t>
            </w:r>
          </w:p>
        </w:tc>
        <w:tc>
          <w:tcPr>
            <w:tcW w:w="700" w:type="dxa"/>
            <w:tcMar>
              <w:top w:w="0" w:type="dxa"/>
              <w:bottom w:w="0" w:type="dxa"/>
            </w:tcMar>
            <w:vAlign w:val="center"/>
          </w:tcPr>
          <w:p w14:paraId="481EE3D9" w14:textId="77777777" w:rsidR="00C26E05" w:rsidRDefault="00000000">
            <w:pPr>
              <w:keepNext/>
              <w:keepLines/>
              <w:spacing w:after="0" w:line="240" w:lineRule="auto"/>
              <w:jc w:val="right"/>
            </w:pPr>
            <w:r>
              <w:rPr>
                <w:sz w:val="18"/>
              </w:rPr>
              <w:t>-</w:t>
            </w:r>
          </w:p>
        </w:tc>
      </w:tr>
    </w:tbl>
    <w:p w14:paraId="7F61D0B1" w14:textId="77777777" w:rsidR="00C26E05" w:rsidRDefault="00C26E05">
      <w:pPr>
        <w:spacing w:after="0"/>
      </w:pPr>
    </w:p>
    <w:p w14:paraId="669004D1" w14:textId="77777777" w:rsidR="00C26E05" w:rsidRDefault="00000000">
      <w:r>
        <w:t>Dospjele obveze u iznosu 1.471,02 eura odnose se na račune za materijalne rashode koji su imali kratak rok dospijeća i pristigli su u 2026. godini.</w:t>
      </w:r>
    </w:p>
    <w:p w14:paraId="3E15C322" w14:textId="77777777" w:rsidR="00C26E05" w:rsidRDefault="00C26E05"/>
    <w:p w14:paraId="63EBB6D5" w14:textId="77777777" w:rsidR="00C26E05"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26E05" w14:paraId="48F057E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D1EE28" w14:textId="77777777" w:rsidR="00C26E0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4AA5A22" w14:textId="77777777" w:rsidR="00C26E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50AFE0" w14:textId="77777777" w:rsidR="00C26E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78294D" w14:textId="77777777" w:rsidR="00C26E05"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CD52B70" w14:textId="77777777" w:rsidR="00C26E05" w:rsidRDefault="00000000">
            <w:pPr>
              <w:keepNext/>
              <w:keepLines/>
              <w:spacing w:after="0" w:line="240" w:lineRule="auto"/>
              <w:jc w:val="center"/>
            </w:pPr>
            <w:r>
              <w:rPr>
                <w:b/>
                <w:sz w:val="18"/>
              </w:rPr>
              <w:t>Indeks (%)</w:t>
            </w:r>
          </w:p>
        </w:tc>
      </w:tr>
      <w:tr w:rsidR="00C26E05" w14:paraId="71B3296D" w14:textId="77777777">
        <w:tblPrEx>
          <w:tblCellMar>
            <w:top w:w="0" w:type="dxa"/>
            <w:bottom w:w="0" w:type="dxa"/>
          </w:tblCellMar>
        </w:tblPrEx>
        <w:trPr>
          <w:cantSplit/>
          <w:trHeight w:val="560"/>
        </w:trPr>
        <w:tc>
          <w:tcPr>
            <w:tcW w:w="700" w:type="dxa"/>
            <w:tcMar>
              <w:top w:w="0" w:type="dxa"/>
              <w:bottom w:w="0" w:type="dxa"/>
            </w:tcMar>
            <w:vAlign w:val="center"/>
          </w:tcPr>
          <w:p w14:paraId="476A2332" w14:textId="77777777" w:rsidR="00C26E05" w:rsidRDefault="00C26E05">
            <w:pPr>
              <w:keepNext/>
              <w:keepLines/>
              <w:spacing w:after="0" w:line="240" w:lineRule="auto"/>
            </w:pPr>
          </w:p>
        </w:tc>
        <w:tc>
          <w:tcPr>
            <w:tcW w:w="3180" w:type="dxa"/>
            <w:tcMar>
              <w:top w:w="0" w:type="dxa"/>
              <w:bottom w:w="0" w:type="dxa"/>
            </w:tcMar>
            <w:vAlign w:val="center"/>
          </w:tcPr>
          <w:p w14:paraId="4DD517EB" w14:textId="77777777" w:rsidR="00C26E05"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03037BA6" w14:textId="77777777" w:rsidR="00C26E05" w:rsidRDefault="00000000">
            <w:pPr>
              <w:keepNext/>
              <w:keepLines/>
              <w:spacing w:after="0" w:line="240" w:lineRule="auto"/>
            </w:pPr>
            <w:r>
              <w:rPr>
                <w:sz w:val="18"/>
              </w:rPr>
              <w:t>V009</w:t>
            </w:r>
          </w:p>
        </w:tc>
        <w:tc>
          <w:tcPr>
            <w:tcW w:w="1860" w:type="dxa"/>
            <w:tcMar>
              <w:top w:w="0" w:type="dxa"/>
              <w:bottom w:w="0" w:type="dxa"/>
            </w:tcMar>
            <w:vAlign w:val="center"/>
          </w:tcPr>
          <w:p w14:paraId="37AB4AA6" w14:textId="77777777" w:rsidR="00C26E05" w:rsidRDefault="00000000">
            <w:pPr>
              <w:keepNext/>
              <w:keepLines/>
              <w:spacing w:after="0" w:line="240" w:lineRule="auto"/>
              <w:jc w:val="right"/>
            </w:pPr>
            <w:r>
              <w:rPr>
                <w:sz w:val="18"/>
              </w:rPr>
              <w:t>64.727,02</w:t>
            </w:r>
          </w:p>
        </w:tc>
        <w:tc>
          <w:tcPr>
            <w:tcW w:w="700" w:type="dxa"/>
            <w:tcMar>
              <w:top w:w="0" w:type="dxa"/>
              <w:bottom w:w="0" w:type="dxa"/>
            </w:tcMar>
            <w:vAlign w:val="center"/>
          </w:tcPr>
          <w:p w14:paraId="415B96C0" w14:textId="77777777" w:rsidR="00C26E05" w:rsidRDefault="00000000">
            <w:pPr>
              <w:keepNext/>
              <w:keepLines/>
              <w:spacing w:after="0" w:line="240" w:lineRule="auto"/>
              <w:jc w:val="right"/>
            </w:pPr>
            <w:r>
              <w:rPr>
                <w:sz w:val="18"/>
              </w:rPr>
              <w:t>-</w:t>
            </w:r>
          </w:p>
        </w:tc>
      </w:tr>
    </w:tbl>
    <w:p w14:paraId="01492719" w14:textId="77777777" w:rsidR="00C26E05" w:rsidRDefault="00C26E05">
      <w:pPr>
        <w:spacing w:after="0"/>
      </w:pPr>
    </w:p>
    <w:p w14:paraId="6E6D9E28" w14:textId="77777777" w:rsidR="00C26E05" w:rsidRDefault="00000000">
      <w:r>
        <w:t>Nedospjele obveze na kraju izvještajnog razdoblja odnose se na plaću za 12/2025 te na autorske honorare i račune za materijalne troškove iz 12/2025.</w:t>
      </w:r>
    </w:p>
    <w:p w14:paraId="7E594796" w14:textId="77777777" w:rsidR="00C26E05" w:rsidRDefault="00C26E05"/>
    <w:p w14:paraId="421C2FD1" w14:textId="77777777" w:rsidR="00C26E05" w:rsidRDefault="00000000">
      <w:pPr>
        <w:keepNext/>
        <w:spacing w:line="240" w:lineRule="auto"/>
        <w:jc w:val="center"/>
      </w:pPr>
      <w:r>
        <w:rPr>
          <w:sz w:val="28"/>
        </w:rPr>
        <w:t>Bilješka 12.</w:t>
      </w:r>
    </w:p>
    <w:p w14:paraId="4E63352C" w14:textId="77777777" w:rsidR="00C26E05" w:rsidRDefault="00000000">
      <w:pPr>
        <w:spacing w:line="240" w:lineRule="auto"/>
        <w:jc w:val="both"/>
      </w:pPr>
      <w:r>
        <w:rPr>
          <w:b/>
        </w:rPr>
        <w:t>EU izvještaj</w:t>
      </w:r>
    </w:p>
    <w:p w14:paraId="4EFBC76E" w14:textId="77777777" w:rsidR="00C26E05" w:rsidRDefault="00000000">
      <w:r>
        <w:t xml:space="preserve">Centar je u ovom izvještajnom razdoblju finalizirao EU projekt pod nazivom </w:t>
      </w:r>
      <w:proofErr w:type="spellStart"/>
      <w:r>
        <w:t>Towards</w:t>
      </w:r>
      <w:proofErr w:type="spellEnd"/>
      <w:r>
        <w:t xml:space="preserve"> </w:t>
      </w:r>
      <w:proofErr w:type="spellStart"/>
      <w:r>
        <w:t>opportunities</w:t>
      </w:r>
      <w:proofErr w:type="spellEnd"/>
      <w:r>
        <w:t xml:space="preserve"> for </w:t>
      </w:r>
      <w:proofErr w:type="spellStart"/>
      <w:r>
        <w:t>growth</w:t>
      </w:r>
      <w:proofErr w:type="spellEnd"/>
      <w:r>
        <w:t xml:space="preserve"> u sklopu programa Erasmus+.</w:t>
      </w:r>
    </w:p>
    <w:p w14:paraId="2C1E96C3" w14:textId="77777777" w:rsidR="00C26E05" w:rsidRDefault="00000000">
      <w:r>
        <w:t>Nakon završnog izvješća izvršeno je i završno plaćanje te je ostvaren ukupan prihod u iznosu 14.312,00 eura u skladu s ugovorenim iznosom. </w:t>
      </w:r>
    </w:p>
    <w:p w14:paraId="2C8A7B7A" w14:textId="77777777" w:rsidR="00C26E05" w:rsidRDefault="00000000">
      <w:r>
        <w:t>Ukupni rashodi ostvareni su u iznosu od 8.231,42 eura i najvećim djelom se odnose na rashode vezane uz službena putovanja.</w:t>
      </w:r>
    </w:p>
    <w:p w14:paraId="57AFB97B" w14:textId="77777777" w:rsidR="00C26E05" w:rsidRDefault="00C26E05"/>
    <w:sectPr w:rsidR="00C26E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E05"/>
    <w:rsid w:val="00564605"/>
    <w:rsid w:val="00C26E05"/>
    <w:rsid w:val="00C80D1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BB791"/>
  <w15:docId w15:val="{0AEE8D1F-9599-4FD2-A638-80AB8B80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1011</Words>
  <Characters>5769</Characters>
  <Application>Microsoft Office Word</Application>
  <DocSecurity>0</DocSecurity>
  <Lines>48</Lines>
  <Paragraphs>13</Paragraphs>
  <ScaleCrop>false</ScaleCrop>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dc:creator>
  <cp:lastModifiedBy>racunovodstvo@cekate.hr</cp:lastModifiedBy>
  <cp:revision>2</cp:revision>
  <dcterms:created xsi:type="dcterms:W3CDTF">2026-02-03T12:48:00Z</dcterms:created>
  <dcterms:modified xsi:type="dcterms:W3CDTF">2026-02-03T12:48:00Z</dcterms:modified>
</cp:coreProperties>
</file>