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DD6D5E" w14:paraId="3C164F7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94FB370" w14:textId="77777777" w:rsidR="00DD6D5E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1A3984B" w14:textId="77777777" w:rsidR="00DD6D5E" w:rsidRDefault="00000000">
            <w:pPr>
              <w:spacing w:after="0" w:line="240" w:lineRule="auto"/>
            </w:pPr>
            <w:r>
              <w:t>25021</w:t>
            </w:r>
          </w:p>
        </w:tc>
      </w:tr>
      <w:tr w:rsidR="00DD6D5E" w14:paraId="3805880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EF33005" w14:textId="77777777" w:rsidR="00DD6D5E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285F49B" w14:textId="77777777" w:rsidR="00DD6D5E" w:rsidRDefault="00000000">
            <w:pPr>
              <w:spacing w:after="0" w:line="240" w:lineRule="auto"/>
            </w:pPr>
            <w:r>
              <w:t>CENTAR ZA KULTURU TREŠNJEVKA</w:t>
            </w:r>
          </w:p>
        </w:tc>
      </w:tr>
      <w:tr w:rsidR="00DD6D5E" w14:paraId="3018622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740EE81" w14:textId="77777777" w:rsidR="00DD6D5E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10AA2E8" w14:textId="77777777" w:rsidR="00DD6D5E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327AD4D4" w14:textId="77777777" w:rsidR="00DD6D5E" w:rsidRDefault="00000000">
      <w:r>
        <w:br/>
      </w:r>
    </w:p>
    <w:p w14:paraId="2D438E40" w14:textId="77777777" w:rsidR="00DD6D5E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3B500CC" w14:textId="77777777" w:rsidR="00DD6D5E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1EC59E5" w14:textId="77777777" w:rsidR="00DD6D5E" w:rsidRDefault="00000000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03415A1F" w14:textId="77777777" w:rsidR="00DD6D5E" w:rsidRDefault="00DD6D5E"/>
    <w:p w14:paraId="7D2B0603" w14:textId="77777777" w:rsidR="00DD6D5E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692AE7B" w14:textId="77777777" w:rsidR="00DD6D5E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D6D5E" w14:paraId="7FEDF9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3C8C28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D9D4E3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C8FA22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30B2E2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4B5B59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FC379A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6D5E" w14:paraId="6021B8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91DB89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A012ED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02E71D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691548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308.592,80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624B84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413.882,56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F7D136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134,1</w:t>
            </w:r>
          </w:p>
        </w:tc>
      </w:tr>
      <w:tr w:rsidR="00DD6D5E" w14:paraId="463F89E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A8E202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F30D64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5584AD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CFC867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312.300,72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47CC18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453.428,53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6D82CC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145,2</w:t>
            </w:r>
          </w:p>
        </w:tc>
      </w:tr>
      <w:tr w:rsidR="00DD6D5E" w14:paraId="0390C68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9B1D52" w14:textId="77777777" w:rsidR="00DD6D5E" w:rsidRDefault="00DD6D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C08C8E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DD2583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F4EB3A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3.707,92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F10BB3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39.545,97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5AC6FE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1066,5</w:t>
            </w:r>
          </w:p>
        </w:tc>
      </w:tr>
      <w:tr w:rsidR="00DD6D5E" w14:paraId="239F1D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1C2099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1B7057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B17C85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02B5AA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FFE8D6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944EC8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D6D5E" w14:paraId="574BC5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49342D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635F1D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44C149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B800FC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0A99DD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1.623,68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BD96B6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D6D5E" w14:paraId="380FEBF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EDED28" w14:textId="77777777" w:rsidR="00DD6D5E" w:rsidRDefault="00DD6D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AFD6EC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D4E8D5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F5300F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4192E2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1.623,68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AC9D00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D6D5E" w14:paraId="099D624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DCDF76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75A58F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5D23CF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339344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A57417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636EC6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D6D5E" w14:paraId="025C4D1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D0B235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5188B9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F70994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3773F1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67C415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DA4A2B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D6D5E" w14:paraId="4D40A5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05E2F7" w14:textId="77777777" w:rsidR="00DD6D5E" w:rsidRDefault="00DD6D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E0EA63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8C9B79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35640D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4BFA33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CA4833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D6D5E" w14:paraId="1E36C7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29F699" w14:textId="77777777" w:rsidR="00DD6D5E" w:rsidRDefault="00DD6D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E61756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1A0A38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06E73A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3.707,92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E17098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41.169,65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A92680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1110,3</w:t>
            </w:r>
          </w:p>
        </w:tc>
      </w:tr>
    </w:tbl>
    <w:p w14:paraId="369352C1" w14:textId="77777777" w:rsidR="00DD6D5E" w:rsidRDefault="00DD6D5E">
      <w:pPr>
        <w:spacing w:after="0"/>
      </w:pPr>
    </w:p>
    <w:p w14:paraId="4CDA95B9" w14:textId="77777777" w:rsidR="00DD6D5E" w:rsidRDefault="00000000">
      <w:pPr>
        <w:spacing w:line="240" w:lineRule="auto"/>
        <w:jc w:val="both"/>
      </w:pPr>
      <w:r>
        <w:t>Ukupni manjak prihoda ovog izvještajnog razdoblja, u iznosu od 41.169,55 eura, nastao je zbog neisplaćenih prihoda koje trebamo primiti iz nadležnog proračuna za financiranje programskih troškova i troškova održavanja i opremanja za 1-6/2025, materijalnih rashoda 5-6/2025 te plaće za 6/2025. Zahtjev za sredstvima za pokriće navedenih rashoda prvog polugodišta, poslan je početkom 7/2025, a očekivano vrijeme primitka sredstava je tijekom 7/2025.</w:t>
      </w:r>
    </w:p>
    <w:p w14:paraId="78AEAB5A" w14:textId="77777777" w:rsidR="00DD6D5E" w:rsidRDefault="00000000">
      <w:r>
        <w:lastRenderedPageBreak/>
        <w:br/>
      </w:r>
    </w:p>
    <w:p w14:paraId="5FF09108" w14:textId="77777777" w:rsidR="00DD6D5E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D6D5E" w14:paraId="34117F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F8CB21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95880F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915D78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BBC360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42FA3D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86D120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6D5E" w14:paraId="08C50B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5E113C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C7FEA5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80BD3C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E87099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15.910,00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349A91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28.842,74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1A5F41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181,3</w:t>
            </w:r>
          </w:p>
        </w:tc>
      </w:tr>
    </w:tbl>
    <w:p w14:paraId="0A52DFD0" w14:textId="77777777" w:rsidR="00DD6D5E" w:rsidRDefault="00DD6D5E">
      <w:pPr>
        <w:spacing w:after="0"/>
      </w:pPr>
    </w:p>
    <w:p w14:paraId="2860D1EE" w14:textId="77777777" w:rsidR="00DD6D5E" w:rsidRDefault="00000000">
      <w:pPr>
        <w:spacing w:line="240" w:lineRule="auto"/>
        <w:jc w:val="both"/>
      </w:pPr>
      <w:r>
        <w:t>Na povećanje ove stavke u iznosu od 81,3% u odnosu na prethodnu godinu, utjecali su prihodi od EU projekata kojih u 2024. godini nije bilo te povećanje prihoda od pomoći iz drugih proračuna (Ministarstvo kulture, Turistička zajednica grada Zagreba, Hrvatski audiovizualni centar)</w:t>
      </w:r>
    </w:p>
    <w:p w14:paraId="2562671D" w14:textId="77777777" w:rsidR="00DD6D5E" w:rsidRDefault="00DD6D5E"/>
    <w:p w14:paraId="4B1A7A3C" w14:textId="77777777" w:rsidR="00DD6D5E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D6D5E" w14:paraId="45F7E9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D01A33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89FE87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F65F61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B5DA03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7993C3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265E2E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6D5E" w14:paraId="3638AB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BFBE9E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009196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DDE755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00786E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52.259,10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18D18D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31.296,88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2BF3E6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59,9</w:t>
            </w:r>
          </w:p>
        </w:tc>
      </w:tr>
    </w:tbl>
    <w:p w14:paraId="3709CC08" w14:textId="77777777" w:rsidR="00DD6D5E" w:rsidRDefault="00DD6D5E">
      <w:pPr>
        <w:spacing w:after="0"/>
      </w:pPr>
    </w:p>
    <w:p w14:paraId="0DE52DD8" w14:textId="77777777" w:rsidR="00DD6D5E" w:rsidRDefault="00000000">
      <w:pPr>
        <w:spacing w:line="240" w:lineRule="auto"/>
        <w:jc w:val="both"/>
      </w:pPr>
      <w:r>
        <w:t>Prihodi od pruženih usluga manji su za 40,01% u odnosu na prethodnu godinu. Do ovog smanjenja došlo je zbog manjeg broja polaznika tečajeva i radionica.</w:t>
      </w:r>
    </w:p>
    <w:p w14:paraId="2C1C7044" w14:textId="77777777" w:rsidR="00DD6D5E" w:rsidRDefault="00DD6D5E"/>
    <w:p w14:paraId="5A0BAE67" w14:textId="77777777" w:rsidR="00DD6D5E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D6D5E" w14:paraId="52525C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2E8D1F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E8A0B9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6AB777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0D3D67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F964EC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A176AB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6D5E" w14:paraId="5049E20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A642CC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5D64E6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F4AEC3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E13532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216.019,70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C2AE82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329.330,35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AD8812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152,5</w:t>
            </w:r>
          </w:p>
        </w:tc>
      </w:tr>
    </w:tbl>
    <w:p w14:paraId="3D70BE98" w14:textId="77777777" w:rsidR="00DD6D5E" w:rsidRDefault="00DD6D5E">
      <w:pPr>
        <w:spacing w:after="0"/>
      </w:pPr>
    </w:p>
    <w:p w14:paraId="294CB2D3" w14:textId="77777777" w:rsidR="00DD6D5E" w:rsidRDefault="00000000">
      <w:pPr>
        <w:spacing w:line="240" w:lineRule="auto"/>
        <w:jc w:val="both"/>
      </w:pPr>
      <w:r>
        <w:t>Povećanje prihoda iz nadležnog proračuna za financiranje redovne djelatnosti u iznosu od 52,5%, sukladno je povećanju rashoda za plaće zaposlenika te općem porastu cijena tj. inflaciji.</w:t>
      </w:r>
    </w:p>
    <w:p w14:paraId="7E7507D0" w14:textId="77777777" w:rsidR="00DD6D5E" w:rsidRDefault="00DD6D5E"/>
    <w:p w14:paraId="6AB9BB7C" w14:textId="77777777" w:rsidR="00DD6D5E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D6D5E" w14:paraId="304BDC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5A66E0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298F9F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777E23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2EC11C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B31216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C9A858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6D5E" w14:paraId="74A389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697F0C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3BD57D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79E5FE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7902FD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199.159,30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7462DA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285.004,82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010ED9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143,1</w:t>
            </w:r>
          </w:p>
        </w:tc>
      </w:tr>
    </w:tbl>
    <w:p w14:paraId="40ED378F" w14:textId="77777777" w:rsidR="00DD6D5E" w:rsidRDefault="00DD6D5E">
      <w:pPr>
        <w:spacing w:after="0"/>
      </w:pPr>
    </w:p>
    <w:p w14:paraId="6779330D" w14:textId="77777777" w:rsidR="00DD6D5E" w:rsidRDefault="00000000">
      <w:pPr>
        <w:spacing w:line="240" w:lineRule="auto"/>
        <w:jc w:val="both"/>
      </w:pPr>
      <w:r>
        <w:lastRenderedPageBreak/>
        <w:t>Do povećanja rashoda za zaposlene u iznosu od 43,1% došlo je zbog zapošljavanja nove djelatnice te zbog povećanja osnovice za plaću od 01.mj 2025. godine sukladno V. dodatku kolektivnog ugovora.</w:t>
      </w:r>
    </w:p>
    <w:p w14:paraId="2FA86C37" w14:textId="77777777" w:rsidR="00DD6D5E" w:rsidRDefault="00DD6D5E"/>
    <w:p w14:paraId="6B4C426F" w14:textId="77777777" w:rsidR="00DD6D5E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D6D5E" w14:paraId="4C6077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9D8EF6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827046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19FF68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67E151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3BC487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EF6E20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6D5E" w14:paraId="7AF26C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D533FB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37ECCA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83DB98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8C4ABC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112.474,55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1BD315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167.771,27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7D9CB9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149,2</w:t>
            </w:r>
          </w:p>
        </w:tc>
      </w:tr>
    </w:tbl>
    <w:p w14:paraId="4129134E" w14:textId="77777777" w:rsidR="00DD6D5E" w:rsidRDefault="00DD6D5E">
      <w:pPr>
        <w:spacing w:after="0"/>
      </w:pPr>
    </w:p>
    <w:p w14:paraId="5FD681A8" w14:textId="77777777" w:rsidR="00DD6D5E" w:rsidRDefault="00000000">
      <w:pPr>
        <w:spacing w:line="240" w:lineRule="auto"/>
        <w:jc w:val="both"/>
      </w:pPr>
      <w:r>
        <w:t xml:space="preserve">Do povećanja materijalnih rashoda u iznosu od 49,2% došlo je zbog općeg povećanja cijena </w:t>
      </w:r>
      <w:proofErr w:type="spellStart"/>
      <w:r>
        <w:t>tj.inflacije</w:t>
      </w:r>
      <w:proofErr w:type="spellEnd"/>
      <w:r>
        <w:t xml:space="preserve"> te zbog rashoda vezanih uz dodatne programe u suradnji s mjesnim odborom.</w:t>
      </w:r>
    </w:p>
    <w:p w14:paraId="43390091" w14:textId="77777777" w:rsidR="00DD6D5E" w:rsidRDefault="00DD6D5E"/>
    <w:p w14:paraId="7CD7A226" w14:textId="77777777" w:rsidR="00DD6D5E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D6D5E" w14:paraId="6839DF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748616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48E49D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774729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F1A77E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B35E13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2CB573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6D5E" w14:paraId="0C42992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442D8E" w14:textId="77777777" w:rsidR="00DD6D5E" w:rsidRDefault="00DD6D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9457CF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F97504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0B0BF9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D70A0D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65.838,00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A97035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71F9C587" w14:textId="77777777" w:rsidR="00DD6D5E" w:rsidRDefault="00DD6D5E">
      <w:pPr>
        <w:spacing w:after="0"/>
      </w:pPr>
    </w:p>
    <w:p w14:paraId="161BC8E0" w14:textId="77777777" w:rsidR="00DD6D5E" w:rsidRDefault="00000000">
      <w:pPr>
        <w:spacing w:line="240" w:lineRule="auto"/>
        <w:jc w:val="both"/>
      </w:pPr>
      <w:r>
        <w:t>Ukupan manjak prihoda i primitaka za pokriće u sljedećem razdoblju iznosi 65.838,00 eura, a sastoji se od manjka poslovanja u iznosu od 39.545,97 eura, manjka prihoda od nefinancijske imovine u iznosu od 1.623,68 eura te prenesenog manjka u iznosu 24.668,35 eura. Predviđa se da će navedeni manjak biti pokriven u 7. mjesecu 2025. g. sredstvima iz gradskog proračuna za financiranje redovne i programske djelatnosti te održavanja i opremanja.</w:t>
      </w:r>
    </w:p>
    <w:p w14:paraId="42F60487" w14:textId="77777777" w:rsidR="00DD6D5E" w:rsidRDefault="00DD6D5E"/>
    <w:p w14:paraId="73188FFF" w14:textId="77777777" w:rsidR="00DD6D5E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D6D5E" w14:paraId="236894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592B7E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E62C02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331B25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A55327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73CA8C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2E2C5C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6D5E" w14:paraId="06AB01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179180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11-dugov.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35E91D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priljevi na novčane račune i blagajne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3CE310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11-dugov.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DFBB5F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313.430,11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240E32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423.032,20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41501C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135,0</w:t>
            </w:r>
          </w:p>
        </w:tc>
      </w:tr>
    </w:tbl>
    <w:p w14:paraId="696A9E48" w14:textId="77777777" w:rsidR="00DD6D5E" w:rsidRDefault="00DD6D5E">
      <w:pPr>
        <w:spacing w:after="0"/>
      </w:pPr>
    </w:p>
    <w:p w14:paraId="3A4728B7" w14:textId="77777777" w:rsidR="00DD6D5E" w:rsidRDefault="00000000">
      <w:pPr>
        <w:spacing w:line="240" w:lineRule="auto"/>
        <w:jc w:val="both"/>
      </w:pPr>
      <w:r>
        <w:t>Ukupni priljevi na novčane račune veći su za 35% u odnosu na prethodnu godinu, sukladno ukupnom povećanju prihoda.</w:t>
      </w:r>
    </w:p>
    <w:p w14:paraId="56F1D849" w14:textId="77777777" w:rsidR="00DD6D5E" w:rsidRDefault="00DD6D5E"/>
    <w:p w14:paraId="17034043" w14:textId="77777777" w:rsidR="00DD6D5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D6D5E" w14:paraId="7998F0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C518B6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51FE2C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90A1CB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9BD159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BB0CB1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E28F1B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6D5E" w14:paraId="2B6ED1F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4E40D9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11-potraž.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1ABE72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odljevi s novčanih računa i blagajni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08C766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11-potraž.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D65F6F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308.912,95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17F4D2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456.144,17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1811C6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147,7</w:t>
            </w:r>
          </w:p>
        </w:tc>
      </w:tr>
    </w:tbl>
    <w:p w14:paraId="5578CB83" w14:textId="77777777" w:rsidR="00DD6D5E" w:rsidRDefault="00DD6D5E">
      <w:pPr>
        <w:spacing w:after="0"/>
      </w:pPr>
    </w:p>
    <w:p w14:paraId="16244CF0" w14:textId="77777777" w:rsidR="00DD6D5E" w:rsidRDefault="00000000">
      <w:pPr>
        <w:spacing w:line="240" w:lineRule="auto"/>
        <w:jc w:val="both"/>
      </w:pPr>
      <w:r>
        <w:t>Ukupni odljevi s novčanih računa i blagajni, veći su za 47,7% u odnosu na isto razdoblje prethodne godine, sukladno povećanju rashoda.</w:t>
      </w:r>
    </w:p>
    <w:p w14:paraId="09A85FB1" w14:textId="77777777" w:rsidR="00DD6D5E" w:rsidRDefault="00DD6D5E"/>
    <w:p w14:paraId="1B6BCE3D" w14:textId="77777777" w:rsidR="00DD6D5E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1D3B1D6" w14:textId="77777777" w:rsidR="00DD6D5E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D6D5E" w14:paraId="432828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5A10A6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3D62BA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018325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10CDFA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BAB7C1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6D5E" w14:paraId="47A7BE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B8CBB2" w14:textId="77777777" w:rsidR="00DD6D5E" w:rsidRDefault="00DD6D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6B5371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6CDF8D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C92BB1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8.710,71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9E0EBA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9517D67" w14:textId="77777777" w:rsidR="00DD6D5E" w:rsidRDefault="00DD6D5E">
      <w:pPr>
        <w:spacing w:after="0"/>
      </w:pPr>
    </w:p>
    <w:p w14:paraId="1644817B" w14:textId="77777777" w:rsidR="00DD6D5E" w:rsidRDefault="00000000">
      <w:pPr>
        <w:spacing w:line="240" w:lineRule="auto"/>
        <w:jc w:val="both"/>
      </w:pPr>
      <w:r>
        <w:t xml:space="preserve">Dospjele obveze u iznosu 8.710,71 </w:t>
      </w:r>
      <w:proofErr w:type="spellStart"/>
      <w:r>
        <w:t>eur</w:t>
      </w:r>
      <w:proofErr w:type="spellEnd"/>
      <w:r>
        <w:t xml:space="preserve"> odnose se na neplaćene račune za materijalne rashode koji su imali kratak rok dospijeća ili su pristigli krajem 6.mj. i svi su podmireni početkom 7mj.</w:t>
      </w:r>
    </w:p>
    <w:p w14:paraId="5D2813D7" w14:textId="77777777" w:rsidR="00DD6D5E" w:rsidRDefault="00DD6D5E"/>
    <w:p w14:paraId="658DF5DF" w14:textId="77777777" w:rsidR="00DD6D5E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D6D5E" w14:paraId="685C31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1E52E4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5EB75E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AD5004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E36C23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B86DE1" w14:textId="77777777" w:rsidR="00DD6D5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6D5E" w14:paraId="04D93F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E59569" w14:textId="77777777" w:rsidR="00DD6D5E" w:rsidRDefault="00DD6D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A1B6EA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F2D35A" w14:textId="77777777" w:rsidR="00DD6D5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A2DAD8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63.077,12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B25E51" w14:textId="77777777" w:rsidR="00DD6D5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D55298C" w14:textId="77777777" w:rsidR="00DD6D5E" w:rsidRDefault="00DD6D5E">
      <w:pPr>
        <w:spacing w:after="0"/>
      </w:pPr>
    </w:p>
    <w:p w14:paraId="6727A671" w14:textId="77777777" w:rsidR="00DD6D5E" w:rsidRDefault="00000000">
      <w:pPr>
        <w:spacing w:line="240" w:lineRule="auto"/>
        <w:jc w:val="both"/>
      </w:pPr>
      <w:r>
        <w:t>Nedospjele obveze na kraju izvještajnog razdoblja u iznosu od 63.077,12 eura, odnose se na plaću za 6/2025, autorske honorare iz 6/2025 te račune za materijalne troškove 6/2025.</w:t>
      </w:r>
    </w:p>
    <w:p w14:paraId="77291AEF" w14:textId="77777777" w:rsidR="00DD6D5E" w:rsidRDefault="00DD6D5E"/>
    <w:sectPr w:rsidR="00DD6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5E"/>
    <w:rsid w:val="007675DB"/>
    <w:rsid w:val="00D226AC"/>
    <w:rsid w:val="00DD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08A4"/>
  <w15:docId w15:val="{D9B83D38-9508-4D91-811A-57B3F66C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933</Words>
  <Characters>5319</Characters>
  <Application>Microsoft Office Word</Application>
  <DocSecurity>0</DocSecurity>
  <Lines>44</Lines>
  <Paragraphs>12</Paragraphs>
  <ScaleCrop>false</ScaleCrop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racunovodstvo@cekate.hr</cp:lastModifiedBy>
  <cp:revision>2</cp:revision>
  <dcterms:created xsi:type="dcterms:W3CDTF">2025-07-10T14:36:00Z</dcterms:created>
  <dcterms:modified xsi:type="dcterms:W3CDTF">2025-07-10T14:36:00Z</dcterms:modified>
</cp:coreProperties>
</file>